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3B6280D4" w:rsidR="008E5B03" w:rsidRDefault="001B24DE" w:rsidP="001B24DE">
      <w:pPr>
        <w:spacing w:after="0" w:line="276" w:lineRule="auto"/>
        <w:ind w:firstLine="3261"/>
        <w:jc w:val="right"/>
        <w:rPr>
          <w:rFonts w:ascii="Book Antiqua" w:hAnsi="Book Antiqua" w:cstheme="minorHAnsi"/>
          <w:sz w:val="24"/>
          <w:szCs w:val="24"/>
        </w:rPr>
      </w:pPr>
      <w:r>
        <w:rPr>
          <w:rFonts w:ascii="Book Antiqua" w:hAnsi="Book Antiqua" w:cstheme="minorHAnsi"/>
          <w:sz w:val="24"/>
          <w:szCs w:val="24"/>
        </w:rPr>
        <w:t>2</w:t>
      </w:r>
      <w:r w:rsidR="004C408C">
        <w:rPr>
          <w:rFonts w:ascii="Book Antiqua" w:hAnsi="Book Antiqua" w:cstheme="minorHAnsi"/>
          <w:sz w:val="24"/>
          <w:szCs w:val="24"/>
        </w:rPr>
        <w:t>3</w:t>
      </w:r>
      <w:r>
        <w:rPr>
          <w:rFonts w:ascii="Book Antiqua" w:hAnsi="Book Antiqua" w:cstheme="minorHAnsi"/>
          <w:sz w:val="24"/>
          <w:szCs w:val="24"/>
        </w:rPr>
        <w:t xml:space="preserve"> </w:t>
      </w:r>
      <w:r w:rsidR="003B6A89" w:rsidRPr="003B6A89">
        <w:rPr>
          <w:rFonts w:ascii="Book Antiqua" w:hAnsi="Book Antiqua" w:cstheme="minorHAnsi"/>
          <w:sz w:val="24"/>
          <w:szCs w:val="24"/>
        </w:rPr>
        <w:t>February 2023</w:t>
      </w:r>
    </w:p>
    <w:p w14:paraId="5245ABEE" w14:textId="7FFBAACD" w:rsidR="001B24DE" w:rsidRPr="003B6A89" w:rsidRDefault="001B24DE" w:rsidP="001B24DE">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4C408C">
        <w:rPr>
          <w:rFonts w:ascii="Book Antiqua" w:hAnsi="Book Antiqua" w:cstheme="minorHAnsi"/>
          <w:sz w:val="24"/>
          <w:szCs w:val="24"/>
        </w:rPr>
        <w:t>/14</w:t>
      </w:r>
      <w:r>
        <w:rPr>
          <w:rFonts w:ascii="Book Antiqua" w:hAnsi="Book Antiqua" w:cstheme="minorHAnsi"/>
          <w:sz w:val="24"/>
          <w:szCs w:val="24"/>
        </w:rPr>
        <w:t>/</w:t>
      </w:r>
      <w:r w:rsidR="00683E9C">
        <w:rPr>
          <w:rFonts w:ascii="Book Antiqua" w:hAnsi="Book Antiqua" w:cstheme="minorHAnsi"/>
          <w:sz w:val="24"/>
          <w:szCs w:val="24"/>
        </w:rPr>
        <w:t>1807</w:t>
      </w:r>
      <w:bookmarkStart w:id="0" w:name="_GoBack"/>
      <w:bookmarkEnd w:id="0"/>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2FBA97D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4E1DCE1B"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proofErr w:type="spellStart"/>
      <w:r w:rsidR="00851354">
        <w:rPr>
          <w:rFonts w:ascii="Book Antiqua" w:hAnsi="Book Antiqua"/>
          <w:bCs/>
          <w:i/>
          <w:sz w:val="24"/>
          <w:szCs w:val="24"/>
          <w:lang w:val="en-US"/>
        </w:rPr>
        <w:t>Mr</w:t>
      </w:r>
      <w:proofErr w:type="spellEnd"/>
      <w:r w:rsidR="00851354">
        <w:rPr>
          <w:rFonts w:ascii="Book Antiqua" w:hAnsi="Book Antiqua"/>
          <w:bCs/>
          <w:i/>
          <w:sz w:val="24"/>
          <w:szCs w:val="24"/>
          <w:lang w:val="en-US"/>
        </w:rPr>
        <w:t xml:space="preserve"> Soumya Ranjan Patnaik</w:t>
      </w:r>
    </w:p>
    <w:p w14:paraId="1B1445EB" w14:textId="77777777" w:rsidR="00C40856" w:rsidRDefault="00C40856" w:rsidP="00E84959">
      <w:pPr>
        <w:jc w:val="both"/>
        <w:rPr>
          <w:rFonts w:ascii="Book Antiqua" w:hAnsi="Book Antiqua"/>
          <w:bCs/>
          <w:sz w:val="24"/>
          <w:szCs w:val="24"/>
          <w:lang w:val="en-US"/>
        </w:rPr>
      </w:pPr>
    </w:p>
    <w:p w14:paraId="2406C3F7" w14:textId="707D8996"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are in the </w:t>
      </w:r>
      <w:r w:rsidRPr="00C40856">
        <w:rPr>
          <w:rFonts w:ascii="Book Antiqua" w:hAnsi="Book Antiqua"/>
          <w:b/>
          <w:bCs/>
          <w:sz w:val="24"/>
          <w:szCs w:val="24"/>
          <w:lang w:val="en-US"/>
        </w:rPr>
        <w:t>Appendix</w:t>
      </w:r>
      <w:r>
        <w:rPr>
          <w:rFonts w:ascii="Book Antiqua" w:hAnsi="Book Antiqua"/>
          <w:bCs/>
          <w:sz w:val="24"/>
          <w:szCs w:val="24"/>
          <w:lang w:val="en-US"/>
        </w:rPr>
        <w:t xml:space="preserve"> providing the replies to the queries raised by </w:t>
      </w:r>
      <w:proofErr w:type="spellStart"/>
      <w:r>
        <w:rPr>
          <w:rFonts w:ascii="Book Antiqua" w:hAnsi="Book Antiqua"/>
          <w:bCs/>
          <w:sz w:val="24"/>
          <w:szCs w:val="24"/>
          <w:lang w:val="en-US"/>
        </w:rPr>
        <w:t>Mr</w:t>
      </w:r>
      <w:proofErr w:type="spellEnd"/>
      <w:r>
        <w:rPr>
          <w:rFonts w:ascii="Book Antiqua" w:hAnsi="Book Antiqua"/>
          <w:bCs/>
          <w:sz w:val="24"/>
          <w:szCs w:val="24"/>
          <w:lang w:val="en-US"/>
        </w:rPr>
        <w:t xml:space="preserve"> </w:t>
      </w:r>
      <w:r w:rsidR="00851354">
        <w:rPr>
          <w:rFonts w:ascii="Book Antiqua" w:hAnsi="Book Antiqua"/>
          <w:bCs/>
          <w:sz w:val="24"/>
          <w:szCs w:val="24"/>
          <w:lang w:val="en-US"/>
        </w:rPr>
        <w:t>Soumya Ranjan Patnaik</w:t>
      </w:r>
      <w:r>
        <w:rPr>
          <w:rFonts w:ascii="Book Antiqua" w:hAnsi="Book Antiqua"/>
          <w:bCs/>
          <w:sz w:val="24"/>
          <w:szCs w:val="24"/>
          <w:lang w:val="en-US"/>
        </w:rPr>
        <w:t>.</w:t>
      </w:r>
    </w:p>
    <w:p w14:paraId="58AB8372" w14:textId="6B7A3550"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the same </w:t>
      </w:r>
      <w:r w:rsidR="001B24DE">
        <w:rPr>
          <w:rFonts w:ascii="Book Antiqua" w:hAnsi="Book Antiqua"/>
          <w:bCs/>
          <w:sz w:val="24"/>
          <w:szCs w:val="24"/>
          <w:lang w:val="en-US"/>
        </w:rPr>
        <w:t>are</w:t>
      </w:r>
      <w:r>
        <w:rPr>
          <w:rFonts w:ascii="Book Antiqua" w:hAnsi="Book Antiqua"/>
          <w:bCs/>
          <w:sz w:val="24"/>
          <w:szCs w:val="24"/>
          <w:lang w:val="en-US"/>
        </w:rPr>
        <w:t xml:space="preserve"> in order</w:t>
      </w:r>
    </w:p>
    <w:p w14:paraId="5AB96D85" w14:textId="16AB7B29" w:rsidR="003B6A89" w:rsidRDefault="003B6A89"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E7E3E94" w14:textId="2DD3D8B3" w:rsidR="003B6A89" w:rsidRDefault="00C40856" w:rsidP="00E84959">
      <w:pPr>
        <w:jc w:val="both"/>
        <w:rPr>
          <w:rFonts w:ascii="Book Antiqua" w:hAnsi="Book Antiqua"/>
          <w:bCs/>
          <w:sz w:val="24"/>
          <w:szCs w:val="24"/>
          <w:lang w:val="en-US"/>
        </w:rPr>
      </w:pPr>
      <w:r>
        <w:rPr>
          <w:noProof/>
        </w:rPr>
        <w:drawing>
          <wp:inline distT="0" distB="0" distL="0" distR="0" wp14:anchorId="332D1369" wp14:editId="634E6874">
            <wp:extent cx="1556425" cy="770658"/>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1936" cy="793193"/>
                    </a:xfrm>
                    <a:prstGeom prst="rect">
                      <a:avLst/>
                    </a:prstGeom>
                  </pic:spPr>
                </pic:pic>
              </a:graphicData>
            </a:graphic>
          </wp:inline>
        </w:drawing>
      </w:r>
    </w:p>
    <w:p w14:paraId="4482C5E3" w14:textId="021CC4A8"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1F0BDC6E" w14:textId="25142F85" w:rsidR="003B6A89" w:rsidRDefault="003B6A89" w:rsidP="00E84959">
      <w:pPr>
        <w:jc w:val="both"/>
        <w:rPr>
          <w:rFonts w:ascii="Book Antiqua" w:hAnsi="Book Antiqua"/>
          <w:bCs/>
          <w:sz w:val="24"/>
          <w:szCs w:val="24"/>
          <w:lang w:val="en-US"/>
        </w:rPr>
      </w:pPr>
    </w:p>
    <w:p w14:paraId="126FC6B4" w14:textId="6516F485" w:rsidR="00851354" w:rsidRDefault="003B6A89" w:rsidP="00851354">
      <w:pPr>
        <w:spacing w:after="0"/>
        <w:jc w:val="both"/>
        <w:rPr>
          <w:rFonts w:ascii="Book Antiqua" w:hAnsi="Book Antiqua"/>
          <w:bCs/>
          <w:sz w:val="24"/>
          <w:szCs w:val="24"/>
          <w:lang w:val="en-US"/>
        </w:rPr>
      </w:pPr>
      <w:r>
        <w:rPr>
          <w:rFonts w:ascii="Book Antiqua" w:hAnsi="Book Antiqua"/>
          <w:bCs/>
          <w:sz w:val="24"/>
          <w:szCs w:val="24"/>
          <w:lang w:val="en-US"/>
        </w:rPr>
        <w:t xml:space="preserve">Cc: </w:t>
      </w:r>
      <w:r w:rsidR="00851354">
        <w:rPr>
          <w:rFonts w:ascii="Book Antiqua" w:hAnsi="Book Antiqua"/>
          <w:bCs/>
          <w:sz w:val="24"/>
          <w:szCs w:val="24"/>
          <w:lang w:val="en-US"/>
        </w:rPr>
        <w:t>Shri Soumya Ranjan Patnaik</w:t>
      </w:r>
    </w:p>
    <w:p w14:paraId="4EAA7CF2" w14:textId="79555698" w:rsidR="003B6A89" w:rsidRDefault="00851354" w:rsidP="003B6A89">
      <w:pPr>
        <w:spacing w:after="0"/>
        <w:jc w:val="both"/>
        <w:rPr>
          <w:rFonts w:ascii="Book Antiqua" w:hAnsi="Book Antiqua"/>
          <w:bCs/>
          <w:sz w:val="24"/>
          <w:szCs w:val="24"/>
          <w:lang w:val="en-US"/>
        </w:rPr>
      </w:pPr>
      <w:r>
        <w:rPr>
          <w:rFonts w:ascii="Book Antiqua" w:hAnsi="Book Antiqua"/>
          <w:bCs/>
          <w:sz w:val="24"/>
          <w:szCs w:val="24"/>
          <w:lang w:val="en-US"/>
        </w:rPr>
        <w:t>Plot No 185 VIP Colony, IRC Village</w:t>
      </w:r>
    </w:p>
    <w:p w14:paraId="59E7F05D" w14:textId="40B50412" w:rsidR="00851354" w:rsidRDefault="00851354" w:rsidP="003B6A89">
      <w:pPr>
        <w:spacing w:after="0"/>
        <w:jc w:val="both"/>
        <w:rPr>
          <w:rFonts w:ascii="Book Antiqua" w:hAnsi="Book Antiqua"/>
          <w:bCs/>
          <w:sz w:val="24"/>
          <w:szCs w:val="24"/>
          <w:lang w:val="en-US"/>
        </w:rPr>
      </w:pPr>
      <w:proofErr w:type="spellStart"/>
      <w:r>
        <w:rPr>
          <w:rFonts w:ascii="Book Antiqua" w:hAnsi="Book Antiqua"/>
          <w:bCs/>
          <w:sz w:val="24"/>
          <w:szCs w:val="24"/>
          <w:lang w:val="en-US"/>
        </w:rPr>
        <w:t>Nayapalli</w:t>
      </w:r>
      <w:proofErr w:type="spellEnd"/>
      <w:r>
        <w:rPr>
          <w:rFonts w:ascii="Book Antiqua" w:hAnsi="Book Antiqua"/>
          <w:bCs/>
          <w:sz w:val="24"/>
          <w:szCs w:val="24"/>
          <w:lang w:val="en-US"/>
        </w:rPr>
        <w:t xml:space="preserve"> Bhubaneshwar 751015</w:t>
      </w:r>
    </w:p>
    <w:p w14:paraId="59B7A36F" w14:textId="2B1D864E"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Email: </w:t>
      </w:r>
      <w:hyperlink r:id="rId8" w:history="1">
        <w:r w:rsidR="00851354" w:rsidRPr="00381332">
          <w:rPr>
            <w:rStyle w:val="Hyperlink"/>
            <w:rFonts w:ascii="Book Antiqua" w:hAnsi="Book Antiqua"/>
            <w:bCs/>
            <w:sz w:val="24"/>
            <w:szCs w:val="24"/>
            <w:lang w:val="en-US"/>
          </w:rPr>
          <w:t>soumyapatnaik.sambad@gmail.com</w:t>
        </w:r>
      </w:hyperlink>
    </w:p>
    <w:p w14:paraId="20C82A38" w14:textId="3A08698E" w:rsidR="003B6A89" w:rsidRDefault="003B6A89">
      <w:pPr>
        <w:rPr>
          <w:rFonts w:ascii="Book Antiqua" w:hAnsi="Book Antiqua"/>
          <w:bCs/>
          <w:sz w:val="24"/>
          <w:szCs w:val="24"/>
          <w:lang w:val="en-US"/>
        </w:rPr>
      </w:pPr>
      <w:r>
        <w:rPr>
          <w:rFonts w:ascii="Book Antiqua" w:hAnsi="Book Antiqua"/>
          <w:bCs/>
          <w:sz w:val="24"/>
          <w:szCs w:val="24"/>
          <w:lang w:val="en-US"/>
        </w:rPr>
        <w:br w:type="page"/>
      </w:r>
    </w:p>
    <w:p w14:paraId="6FC643CD" w14:textId="7D31282E" w:rsidR="003B6A89" w:rsidRPr="00DB5BAE" w:rsidRDefault="003B6A89" w:rsidP="003B6A89">
      <w:pPr>
        <w:jc w:val="right"/>
        <w:rPr>
          <w:rFonts w:ascii="Book Antiqua" w:hAnsi="Book Antiqua"/>
          <w:b/>
          <w:bCs/>
          <w:sz w:val="24"/>
          <w:szCs w:val="24"/>
          <w:lang w:val="en-US"/>
        </w:rPr>
      </w:pPr>
      <w:r w:rsidRPr="00DB5BAE">
        <w:rPr>
          <w:rFonts w:ascii="Book Antiqua" w:hAnsi="Book Antiqua"/>
          <w:b/>
          <w:bCs/>
          <w:sz w:val="24"/>
          <w:szCs w:val="24"/>
          <w:lang w:val="en-US"/>
        </w:rPr>
        <w:lastRenderedPageBreak/>
        <w:t>Appendix</w:t>
      </w:r>
    </w:p>
    <w:p w14:paraId="61DF5F20" w14:textId="7970D40D" w:rsidR="003B6A89" w:rsidRDefault="003B6A89" w:rsidP="00E84959">
      <w:pPr>
        <w:jc w:val="both"/>
        <w:rPr>
          <w:rFonts w:ascii="Book Antiqua" w:hAnsi="Book Antiqua"/>
          <w:bCs/>
          <w:sz w:val="24"/>
          <w:szCs w:val="24"/>
          <w:lang w:val="en-US"/>
        </w:rPr>
      </w:pPr>
    </w:p>
    <w:p w14:paraId="788402C3" w14:textId="7821D990"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38E2F102" w14:textId="22F9400E" w:rsidR="003B6A89" w:rsidRPr="001B24DE" w:rsidRDefault="00851354" w:rsidP="00E84959">
      <w:pPr>
        <w:jc w:val="both"/>
        <w:rPr>
          <w:rFonts w:ascii="Book Antiqua" w:hAnsi="Book Antiqua"/>
          <w:bCs/>
          <w:i/>
          <w:sz w:val="24"/>
          <w:szCs w:val="24"/>
          <w:lang w:val="en-US"/>
        </w:rPr>
      </w:pPr>
      <w:r>
        <w:rPr>
          <w:rFonts w:ascii="Book Antiqua" w:hAnsi="Book Antiqua"/>
          <w:bCs/>
          <w:i/>
          <w:sz w:val="24"/>
          <w:szCs w:val="24"/>
          <w:lang w:val="en-US"/>
        </w:rPr>
        <w:t xml:space="preserve">The inefficiency due to loss levels of </w:t>
      </w:r>
      <w:proofErr w:type="spellStart"/>
      <w:r>
        <w:rPr>
          <w:rFonts w:ascii="Book Antiqua" w:hAnsi="Book Antiqua"/>
          <w:bCs/>
          <w:i/>
          <w:sz w:val="24"/>
          <w:szCs w:val="24"/>
          <w:lang w:val="en-US"/>
        </w:rPr>
        <w:t>Discoms</w:t>
      </w:r>
      <w:proofErr w:type="spellEnd"/>
      <w:r>
        <w:rPr>
          <w:rFonts w:ascii="Book Antiqua" w:hAnsi="Book Antiqua"/>
          <w:bCs/>
          <w:i/>
          <w:sz w:val="24"/>
          <w:szCs w:val="24"/>
          <w:lang w:val="en-US"/>
        </w:rPr>
        <w:t xml:space="preserve"> have to be borne by the consumer</w:t>
      </w:r>
    </w:p>
    <w:p w14:paraId="1AB85E2A" w14:textId="2E012316" w:rsidR="003B6A89" w:rsidRDefault="003B6A89" w:rsidP="00E84959">
      <w:pPr>
        <w:jc w:val="both"/>
        <w:rPr>
          <w:rFonts w:ascii="Book Antiqua" w:hAnsi="Book Antiqua"/>
          <w:bCs/>
          <w:sz w:val="24"/>
          <w:szCs w:val="24"/>
          <w:lang w:val="en-US"/>
        </w:rPr>
      </w:pPr>
    </w:p>
    <w:p w14:paraId="7CABD4CF" w14:textId="3EC11D7B" w:rsidR="003B6A89" w:rsidRPr="001B24DE" w:rsidRDefault="003B6A89"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1194D6FF" w14:textId="1608A9EA" w:rsidR="003B6A89" w:rsidRDefault="003B6A89" w:rsidP="00E84959">
      <w:pPr>
        <w:jc w:val="both"/>
        <w:rPr>
          <w:rFonts w:ascii="Book Antiqua" w:hAnsi="Book Antiqua"/>
          <w:bCs/>
          <w:sz w:val="24"/>
          <w:szCs w:val="24"/>
          <w:lang w:val="en-US"/>
        </w:rPr>
      </w:pPr>
    </w:p>
    <w:p w14:paraId="0874FF06" w14:textId="269AA72F" w:rsidR="005C6568" w:rsidRDefault="00851354" w:rsidP="00E84959">
      <w:pPr>
        <w:jc w:val="both"/>
        <w:rPr>
          <w:rFonts w:ascii="Book Antiqua" w:hAnsi="Book Antiqua"/>
          <w:bCs/>
          <w:sz w:val="24"/>
          <w:szCs w:val="24"/>
          <w:lang w:val="en-US"/>
        </w:rPr>
      </w:pPr>
      <w:r>
        <w:rPr>
          <w:rFonts w:ascii="Book Antiqua" w:hAnsi="Book Antiqua"/>
          <w:bCs/>
          <w:sz w:val="24"/>
          <w:szCs w:val="24"/>
          <w:lang w:val="en-US"/>
        </w:rPr>
        <w:t xml:space="preserve">In this regard it is important to submit under the privatization process carried </w:t>
      </w:r>
      <w:proofErr w:type="gramStart"/>
      <w:r>
        <w:rPr>
          <w:rFonts w:ascii="Book Antiqua" w:hAnsi="Book Antiqua"/>
          <w:bCs/>
          <w:sz w:val="24"/>
          <w:szCs w:val="24"/>
          <w:lang w:val="en-US"/>
        </w:rPr>
        <w:t>out ,</w:t>
      </w:r>
      <w:proofErr w:type="gramEnd"/>
      <w:r>
        <w:rPr>
          <w:rFonts w:ascii="Book Antiqua" w:hAnsi="Book Antiqua"/>
          <w:bCs/>
          <w:sz w:val="24"/>
          <w:szCs w:val="24"/>
          <w:lang w:val="en-US"/>
        </w:rPr>
        <w:t xml:space="preserve"> it was stipulated that for the purpose of determination of tariff there would be trajectory of loss that would be considered by the Hon’ble Commission. While the </w:t>
      </w:r>
      <w:proofErr w:type="spellStart"/>
      <w:r>
        <w:rPr>
          <w:rFonts w:ascii="Book Antiqua" w:hAnsi="Book Antiqua"/>
          <w:bCs/>
          <w:sz w:val="24"/>
          <w:szCs w:val="24"/>
          <w:lang w:val="en-US"/>
        </w:rPr>
        <w:t>Discoms</w:t>
      </w:r>
      <w:proofErr w:type="spellEnd"/>
      <w:r>
        <w:rPr>
          <w:rFonts w:ascii="Book Antiqua" w:hAnsi="Book Antiqua"/>
          <w:bCs/>
          <w:sz w:val="24"/>
          <w:szCs w:val="24"/>
          <w:lang w:val="en-US"/>
        </w:rPr>
        <w:t xml:space="preserve"> would provide a commitment </w:t>
      </w:r>
      <w:r w:rsidR="009153BE">
        <w:rPr>
          <w:rFonts w:ascii="Book Antiqua" w:hAnsi="Book Antiqua"/>
          <w:bCs/>
          <w:sz w:val="24"/>
          <w:szCs w:val="24"/>
          <w:lang w:val="en-US"/>
        </w:rPr>
        <w:t xml:space="preserve">for reduction of </w:t>
      </w:r>
      <w:proofErr w:type="gramStart"/>
      <w:r w:rsidR="009153BE">
        <w:rPr>
          <w:rFonts w:ascii="Book Antiqua" w:hAnsi="Book Antiqua"/>
          <w:bCs/>
          <w:sz w:val="24"/>
          <w:szCs w:val="24"/>
          <w:lang w:val="en-US"/>
        </w:rPr>
        <w:t>losses ,</w:t>
      </w:r>
      <w:proofErr w:type="gramEnd"/>
      <w:r w:rsidR="009153BE">
        <w:rPr>
          <w:rFonts w:ascii="Book Antiqua" w:hAnsi="Book Antiqua"/>
          <w:bCs/>
          <w:sz w:val="24"/>
          <w:szCs w:val="24"/>
          <w:lang w:val="en-US"/>
        </w:rPr>
        <w:t xml:space="preserve"> the tariff would be determined on the basis of the trajectory. With this stipulation and other conditions, the bidder was required to quote a price and the bidder was accordingly selected.</w:t>
      </w:r>
    </w:p>
    <w:p w14:paraId="160C837A" w14:textId="791CAB25" w:rsidR="009153BE" w:rsidRDefault="009153BE" w:rsidP="00E84959">
      <w:pPr>
        <w:jc w:val="both"/>
        <w:rPr>
          <w:rFonts w:ascii="Book Antiqua" w:hAnsi="Book Antiqua"/>
          <w:bCs/>
          <w:sz w:val="24"/>
          <w:szCs w:val="24"/>
          <w:lang w:val="en-US"/>
        </w:rPr>
      </w:pPr>
    </w:p>
    <w:p w14:paraId="5BDEA3C0" w14:textId="19B08772" w:rsidR="009153BE" w:rsidRDefault="009153BE" w:rsidP="00E84959">
      <w:pPr>
        <w:jc w:val="both"/>
        <w:rPr>
          <w:rFonts w:ascii="Book Antiqua" w:hAnsi="Book Antiqua"/>
          <w:bCs/>
          <w:sz w:val="24"/>
          <w:szCs w:val="24"/>
          <w:lang w:val="en-US"/>
        </w:rPr>
      </w:pPr>
      <w:r>
        <w:rPr>
          <w:rFonts w:ascii="Book Antiqua" w:hAnsi="Book Antiqua"/>
          <w:bCs/>
          <w:sz w:val="24"/>
          <w:szCs w:val="24"/>
          <w:lang w:val="en-US"/>
        </w:rPr>
        <w:t xml:space="preserve">In other words, it is submitted that the actual level of loss of Discom would not affect the consumers at all. The Tariff would be determined by the Hon’ble Commission on the basis of loss trajectory specified in the bidding document and in the Vesting Order. Hence the consumers are insulated from the actual loss levels of </w:t>
      </w:r>
      <w:proofErr w:type="spellStart"/>
      <w:r>
        <w:rPr>
          <w:rFonts w:ascii="Book Antiqua" w:hAnsi="Book Antiqua"/>
          <w:bCs/>
          <w:sz w:val="24"/>
          <w:szCs w:val="24"/>
          <w:lang w:val="en-US"/>
        </w:rPr>
        <w:t>Discoms</w:t>
      </w:r>
      <w:proofErr w:type="spellEnd"/>
    </w:p>
    <w:p w14:paraId="5E27DD2E" w14:textId="77777777" w:rsidR="00851354" w:rsidRDefault="00851354" w:rsidP="00E84959">
      <w:pPr>
        <w:jc w:val="both"/>
        <w:rPr>
          <w:rFonts w:ascii="Book Antiqua" w:hAnsi="Book Antiqua"/>
          <w:bCs/>
          <w:sz w:val="24"/>
          <w:szCs w:val="24"/>
          <w:lang w:val="en-US"/>
        </w:rPr>
      </w:pPr>
    </w:p>
    <w:p w14:paraId="53FC4732" w14:textId="77777777"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7BCFE8BA" w14:textId="77777777" w:rsidR="001B24DE" w:rsidRDefault="001B24DE" w:rsidP="00E84959">
      <w:pPr>
        <w:jc w:val="both"/>
        <w:rPr>
          <w:rFonts w:ascii="Book Antiqua" w:hAnsi="Book Antiqua"/>
          <w:bCs/>
          <w:sz w:val="24"/>
          <w:szCs w:val="24"/>
          <w:lang w:val="en-US"/>
        </w:rPr>
      </w:pPr>
    </w:p>
    <w:p w14:paraId="4CE123DB" w14:textId="584E82E3" w:rsidR="001B24DE" w:rsidRPr="009153BE" w:rsidRDefault="009153BE" w:rsidP="00E84959">
      <w:pPr>
        <w:jc w:val="both"/>
        <w:rPr>
          <w:rFonts w:ascii="Book Antiqua" w:hAnsi="Book Antiqua"/>
          <w:bCs/>
          <w:i/>
          <w:sz w:val="24"/>
          <w:szCs w:val="24"/>
          <w:lang w:val="en-US"/>
        </w:rPr>
      </w:pPr>
      <w:r>
        <w:rPr>
          <w:rFonts w:ascii="Book Antiqua" w:hAnsi="Book Antiqua"/>
          <w:bCs/>
          <w:i/>
          <w:sz w:val="24"/>
          <w:szCs w:val="24"/>
          <w:lang w:val="en-US"/>
        </w:rPr>
        <w:t>T&amp;D loss levels of 8% are considered for many years</w:t>
      </w:r>
    </w:p>
    <w:p w14:paraId="0068DB68" w14:textId="6129859E" w:rsidR="001B24DE" w:rsidRPr="001B24DE" w:rsidRDefault="001B24DE"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743D62E0" w14:textId="2B570AD5" w:rsidR="001B24DE" w:rsidRDefault="009153BE" w:rsidP="00E84959">
      <w:pPr>
        <w:jc w:val="both"/>
        <w:rPr>
          <w:rFonts w:ascii="Book Antiqua" w:hAnsi="Book Antiqua"/>
          <w:bCs/>
          <w:sz w:val="24"/>
          <w:szCs w:val="24"/>
          <w:lang w:val="en-US"/>
        </w:rPr>
      </w:pPr>
      <w:r>
        <w:rPr>
          <w:rFonts w:ascii="Book Antiqua" w:hAnsi="Book Antiqua"/>
          <w:bCs/>
          <w:sz w:val="24"/>
          <w:szCs w:val="24"/>
          <w:lang w:val="en-US"/>
        </w:rPr>
        <w:t>We wish to submit that the T&amp;D loss of 8% is applicable for Open Access Transactions</w:t>
      </w:r>
      <w:r w:rsidR="00DB5BAE">
        <w:rPr>
          <w:rFonts w:ascii="Book Antiqua" w:hAnsi="Book Antiqua"/>
          <w:bCs/>
          <w:sz w:val="24"/>
          <w:szCs w:val="24"/>
          <w:lang w:val="en-US"/>
        </w:rPr>
        <w:t xml:space="preserve"> for consumers on HT</w:t>
      </w:r>
      <w:r>
        <w:rPr>
          <w:rFonts w:ascii="Book Antiqua" w:hAnsi="Book Antiqua"/>
          <w:bCs/>
          <w:sz w:val="24"/>
          <w:szCs w:val="24"/>
          <w:lang w:val="en-US"/>
        </w:rPr>
        <w:t>. The estimation of sales by the Discom as well as the approval of the same in the Tariff Order are not based on the T&amp;D Loss of HT. Hence the tariff to consumers are not impacted by the loss levels for HT</w:t>
      </w:r>
    </w:p>
    <w:p w14:paraId="291264EA" w14:textId="0B53A6CC" w:rsidR="009153BE" w:rsidRDefault="009153BE" w:rsidP="00E84959">
      <w:pPr>
        <w:jc w:val="both"/>
        <w:rPr>
          <w:rFonts w:ascii="Book Antiqua" w:hAnsi="Book Antiqua"/>
          <w:bCs/>
          <w:sz w:val="24"/>
          <w:szCs w:val="24"/>
          <w:lang w:val="en-US"/>
        </w:rPr>
      </w:pPr>
      <w:r>
        <w:rPr>
          <w:rFonts w:ascii="Book Antiqua" w:hAnsi="Book Antiqua"/>
          <w:bCs/>
          <w:sz w:val="24"/>
          <w:szCs w:val="24"/>
          <w:lang w:val="en-US"/>
        </w:rPr>
        <w:t xml:space="preserve">Not withstanding the </w:t>
      </w:r>
      <w:proofErr w:type="gramStart"/>
      <w:r>
        <w:rPr>
          <w:rFonts w:ascii="Book Antiqua" w:hAnsi="Book Antiqua"/>
          <w:bCs/>
          <w:sz w:val="24"/>
          <w:szCs w:val="24"/>
          <w:lang w:val="en-US"/>
        </w:rPr>
        <w:t>above,  TPSODL</w:t>
      </w:r>
      <w:proofErr w:type="gramEnd"/>
      <w:r>
        <w:rPr>
          <w:rFonts w:ascii="Book Antiqua" w:hAnsi="Book Antiqua"/>
          <w:bCs/>
          <w:sz w:val="24"/>
          <w:szCs w:val="24"/>
          <w:lang w:val="en-US"/>
        </w:rPr>
        <w:t xml:space="preserve"> is in the process of installing the infrastructure for carrying out the Energy Audit. After the installation of the same, the loss level for HT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33 KV and 11 KV can be determined. We propose to complete the same by end of FY 2023-24</w:t>
      </w:r>
    </w:p>
    <w:p w14:paraId="2B063036" w14:textId="77777777" w:rsidR="002A7EFF" w:rsidRDefault="002A7EFF" w:rsidP="001B24DE">
      <w:pPr>
        <w:jc w:val="both"/>
        <w:rPr>
          <w:rFonts w:ascii="Book Antiqua" w:hAnsi="Book Antiqua"/>
          <w:bCs/>
          <w:sz w:val="24"/>
          <w:szCs w:val="24"/>
          <w:lang w:val="en-US"/>
        </w:rPr>
      </w:pPr>
    </w:p>
    <w:p w14:paraId="4DC0D22F" w14:textId="77777777" w:rsidR="002A7EFF" w:rsidRPr="001B24DE" w:rsidRDefault="002A7EFF" w:rsidP="002A7EFF">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794C3B7F" w14:textId="77777777" w:rsidR="002A7EFF" w:rsidRDefault="002A7EFF" w:rsidP="002A7EFF">
      <w:pPr>
        <w:jc w:val="both"/>
        <w:rPr>
          <w:rFonts w:ascii="Book Antiqua" w:hAnsi="Book Antiqua"/>
          <w:bCs/>
          <w:sz w:val="24"/>
          <w:szCs w:val="24"/>
          <w:lang w:val="en-US"/>
        </w:rPr>
      </w:pPr>
    </w:p>
    <w:p w14:paraId="7C9382F3" w14:textId="267AA467" w:rsidR="002A7EFF" w:rsidRPr="009153BE" w:rsidRDefault="002A7EFF" w:rsidP="002A7EFF">
      <w:pPr>
        <w:jc w:val="both"/>
        <w:rPr>
          <w:rFonts w:ascii="Book Antiqua" w:hAnsi="Book Antiqua"/>
          <w:bCs/>
          <w:i/>
          <w:sz w:val="24"/>
          <w:szCs w:val="24"/>
          <w:lang w:val="en-US"/>
        </w:rPr>
      </w:pPr>
      <w:r>
        <w:rPr>
          <w:rFonts w:ascii="Book Antiqua" w:hAnsi="Book Antiqua"/>
          <w:bCs/>
          <w:i/>
          <w:sz w:val="24"/>
          <w:szCs w:val="24"/>
          <w:lang w:val="en-US"/>
        </w:rPr>
        <w:t>The</w:t>
      </w:r>
      <w:r w:rsidR="00293423">
        <w:rPr>
          <w:rFonts w:ascii="Book Antiqua" w:hAnsi="Book Antiqua"/>
          <w:bCs/>
          <w:i/>
          <w:sz w:val="24"/>
          <w:szCs w:val="24"/>
          <w:lang w:val="en-US"/>
        </w:rPr>
        <w:t>re is surplus created by the Licensee for the FY 2021, FY 2022 and FY 2023</w:t>
      </w:r>
    </w:p>
    <w:p w14:paraId="3563782F" w14:textId="3EEC1FB3" w:rsidR="001B24DE" w:rsidRDefault="001B24DE" w:rsidP="001B24DE">
      <w:pPr>
        <w:jc w:val="both"/>
        <w:rPr>
          <w:rFonts w:ascii="Book Antiqua" w:hAnsi="Book Antiqua"/>
          <w:bCs/>
          <w:sz w:val="24"/>
          <w:szCs w:val="24"/>
          <w:lang w:val="en-US"/>
        </w:rPr>
      </w:pPr>
    </w:p>
    <w:p w14:paraId="2380CD2B" w14:textId="77777777" w:rsidR="00293423" w:rsidRPr="001B24DE" w:rsidRDefault="00293423" w:rsidP="00293423">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0388F0B2" w14:textId="1F4BB600" w:rsidR="00293423" w:rsidRDefault="00293423" w:rsidP="001B24DE">
      <w:pPr>
        <w:jc w:val="both"/>
        <w:rPr>
          <w:rFonts w:ascii="Book Antiqua" w:hAnsi="Book Antiqua"/>
          <w:bCs/>
          <w:sz w:val="24"/>
          <w:szCs w:val="24"/>
          <w:lang w:val="en-US"/>
        </w:rPr>
      </w:pPr>
    </w:p>
    <w:p w14:paraId="3691ED80" w14:textId="7ADD419C" w:rsidR="00293423" w:rsidRDefault="00293423" w:rsidP="001B24DE">
      <w:pPr>
        <w:jc w:val="both"/>
        <w:rPr>
          <w:rFonts w:ascii="Book Antiqua" w:hAnsi="Book Antiqua"/>
          <w:bCs/>
          <w:sz w:val="24"/>
          <w:szCs w:val="24"/>
          <w:lang w:val="en-US"/>
        </w:rPr>
      </w:pPr>
      <w:r>
        <w:rPr>
          <w:rFonts w:ascii="Book Antiqua" w:hAnsi="Book Antiqua"/>
          <w:bCs/>
          <w:sz w:val="24"/>
          <w:szCs w:val="24"/>
          <w:lang w:val="en-US"/>
        </w:rPr>
        <w:t xml:space="preserve">In this regard we wish to </w:t>
      </w:r>
      <w:r w:rsidR="00DB5BAE">
        <w:rPr>
          <w:rFonts w:ascii="Book Antiqua" w:hAnsi="Book Antiqua"/>
          <w:bCs/>
          <w:sz w:val="24"/>
          <w:szCs w:val="24"/>
          <w:lang w:val="en-US"/>
        </w:rPr>
        <w:t>state</w:t>
      </w:r>
      <w:r>
        <w:rPr>
          <w:rFonts w:ascii="Book Antiqua" w:hAnsi="Book Antiqua"/>
          <w:bCs/>
          <w:sz w:val="24"/>
          <w:szCs w:val="24"/>
          <w:lang w:val="en-US"/>
        </w:rPr>
        <w:t xml:space="preserve"> that TPSODL has submitted its true up petition for FY 2020-21 (3 Months) </w:t>
      </w:r>
      <w:proofErr w:type="gramStart"/>
      <w:r>
        <w:rPr>
          <w:rFonts w:ascii="Book Antiqua" w:hAnsi="Book Antiqua"/>
          <w:bCs/>
          <w:sz w:val="24"/>
          <w:szCs w:val="24"/>
          <w:lang w:val="en-US"/>
        </w:rPr>
        <w:t>and  FY</w:t>
      </w:r>
      <w:proofErr w:type="gramEnd"/>
      <w:r>
        <w:rPr>
          <w:rFonts w:ascii="Book Antiqua" w:hAnsi="Book Antiqua"/>
          <w:bCs/>
          <w:sz w:val="24"/>
          <w:szCs w:val="24"/>
          <w:lang w:val="en-US"/>
        </w:rPr>
        <w:t xml:space="preserve"> 2021-22 . In addition, it has estimated the surplus for FY 2022-23 based on the performance for H1 of FY 2022-23</w:t>
      </w:r>
      <w:r w:rsidR="009A49F1">
        <w:rPr>
          <w:rFonts w:ascii="Book Antiqua" w:hAnsi="Book Antiqua"/>
          <w:bCs/>
          <w:sz w:val="24"/>
          <w:szCs w:val="24"/>
          <w:lang w:val="en-US"/>
        </w:rPr>
        <w:t>.</w:t>
      </w:r>
    </w:p>
    <w:p w14:paraId="2FAD09E9" w14:textId="1C61F22F" w:rsidR="009A49F1" w:rsidRDefault="009A49F1" w:rsidP="001B24DE">
      <w:pPr>
        <w:jc w:val="both"/>
        <w:rPr>
          <w:rFonts w:ascii="Book Antiqua" w:hAnsi="Book Antiqua"/>
          <w:bCs/>
          <w:sz w:val="24"/>
          <w:szCs w:val="24"/>
          <w:lang w:val="en-US"/>
        </w:rPr>
      </w:pPr>
    </w:p>
    <w:p w14:paraId="7494B3F0" w14:textId="4D80D56E" w:rsidR="009A49F1" w:rsidRDefault="009A49F1" w:rsidP="001B24DE">
      <w:pPr>
        <w:jc w:val="both"/>
        <w:rPr>
          <w:rFonts w:ascii="Book Antiqua" w:hAnsi="Book Antiqua"/>
          <w:bCs/>
          <w:sz w:val="24"/>
          <w:szCs w:val="24"/>
          <w:lang w:val="en-US"/>
        </w:rPr>
      </w:pPr>
      <w:r>
        <w:rPr>
          <w:rFonts w:ascii="Book Antiqua" w:hAnsi="Book Antiqua"/>
          <w:bCs/>
          <w:sz w:val="24"/>
          <w:szCs w:val="24"/>
          <w:lang w:val="en-US"/>
        </w:rPr>
        <w:t xml:space="preserve">We have in the petition worked out the projected deficit (along with the carrying cost) </w:t>
      </w:r>
      <w:proofErr w:type="spellStart"/>
      <w:r>
        <w:rPr>
          <w:rFonts w:ascii="Book Antiqua" w:hAnsi="Book Antiqua"/>
          <w:bCs/>
          <w:sz w:val="24"/>
          <w:szCs w:val="24"/>
          <w:lang w:val="en-US"/>
        </w:rPr>
        <w:t>upto</w:t>
      </w:r>
      <w:proofErr w:type="spellEnd"/>
      <w:r>
        <w:rPr>
          <w:rFonts w:ascii="Book Antiqua" w:hAnsi="Book Antiqua"/>
          <w:bCs/>
          <w:sz w:val="24"/>
          <w:szCs w:val="24"/>
          <w:lang w:val="en-US"/>
        </w:rPr>
        <w:t xml:space="preserve"> end of FY 2023-24. The extracts from the petition </w:t>
      </w:r>
      <w:proofErr w:type="gramStart"/>
      <w:r>
        <w:rPr>
          <w:rFonts w:ascii="Book Antiqua" w:hAnsi="Book Antiqua"/>
          <w:bCs/>
          <w:sz w:val="24"/>
          <w:szCs w:val="24"/>
          <w:lang w:val="en-US"/>
        </w:rPr>
        <w:t>as  presented</w:t>
      </w:r>
      <w:proofErr w:type="gramEnd"/>
      <w:r>
        <w:rPr>
          <w:rFonts w:ascii="Book Antiqua" w:hAnsi="Book Antiqua"/>
          <w:bCs/>
          <w:sz w:val="24"/>
          <w:szCs w:val="24"/>
          <w:lang w:val="en-US"/>
        </w:rPr>
        <w:t xml:space="preserve"> below</w:t>
      </w:r>
    </w:p>
    <w:p w14:paraId="2B46D8E2" w14:textId="57FB211B" w:rsidR="009A49F1" w:rsidRDefault="009A49F1" w:rsidP="001B24DE">
      <w:pPr>
        <w:jc w:val="both"/>
        <w:rPr>
          <w:rFonts w:ascii="Book Antiqua" w:hAnsi="Book Antiqua"/>
          <w:bCs/>
          <w:sz w:val="24"/>
          <w:szCs w:val="24"/>
          <w:lang w:val="en-US"/>
        </w:rPr>
      </w:pPr>
    </w:p>
    <w:p w14:paraId="5831DBD4" w14:textId="3956AF39" w:rsidR="009A49F1" w:rsidRDefault="009A49F1" w:rsidP="001B24DE">
      <w:pPr>
        <w:jc w:val="both"/>
        <w:rPr>
          <w:rFonts w:ascii="Book Antiqua" w:hAnsi="Book Antiqua"/>
          <w:bCs/>
          <w:sz w:val="24"/>
          <w:szCs w:val="24"/>
          <w:lang w:val="en-US"/>
        </w:rPr>
      </w:pPr>
      <w:r>
        <w:rPr>
          <w:noProof/>
        </w:rPr>
        <w:drawing>
          <wp:inline distT="0" distB="0" distL="0" distR="0" wp14:anchorId="4D8CE078" wp14:editId="06009E59">
            <wp:extent cx="5731510" cy="1522095"/>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1522095"/>
                    </a:xfrm>
                    <a:prstGeom prst="rect">
                      <a:avLst/>
                    </a:prstGeom>
                  </pic:spPr>
                </pic:pic>
              </a:graphicData>
            </a:graphic>
          </wp:inline>
        </w:drawing>
      </w:r>
    </w:p>
    <w:p w14:paraId="3F1854FA" w14:textId="651AF7A9" w:rsidR="00293423" w:rsidRDefault="00580CEC" w:rsidP="001B24DE">
      <w:pPr>
        <w:jc w:val="both"/>
        <w:rPr>
          <w:rFonts w:ascii="Book Antiqua" w:hAnsi="Book Antiqua"/>
          <w:bCs/>
          <w:sz w:val="24"/>
          <w:szCs w:val="24"/>
          <w:lang w:val="en-US"/>
        </w:rPr>
      </w:pPr>
      <w:r>
        <w:rPr>
          <w:rFonts w:ascii="Book Antiqua" w:hAnsi="Book Antiqua"/>
          <w:bCs/>
          <w:sz w:val="24"/>
          <w:szCs w:val="24"/>
          <w:lang w:val="en-US"/>
        </w:rPr>
        <w:t xml:space="preserve">As can be seen from the above </w:t>
      </w:r>
      <w:proofErr w:type="gramStart"/>
      <w:r>
        <w:rPr>
          <w:rFonts w:ascii="Book Antiqua" w:hAnsi="Book Antiqua"/>
          <w:bCs/>
          <w:sz w:val="24"/>
          <w:szCs w:val="24"/>
          <w:lang w:val="en-US"/>
        </w:rPr>
        <w:t>table ,</w:t>
      </w:r>
      <w:proofErr w:type="gramEnd"/>
      <w:r>
        <w:rPr>
          <w:rFonts w:ascii="Book Antiqua" w:hAnsi="Book Antiqua"/>
          <w:bCs/>
          <w:sz w:val="24"/>
          <w:szCs w:val="24"/>
          <w:lang w:val="en-US"/>
        </w:rPr>
        <w:t xml:space="preserve"> there is a closing </w:t>
      </w:r>
      <w:r w:rsidR="00DB5BAE">
        <w:rPr>
          <w:rFonts w:ascii="Book Antiqua" w:hAnsi="Book Antiqua"/>
          <w:bCs/>
          <w:sz w:val="24"/>
          <w:szCs w:val="24"/>
          <w:lang w:val="en-US"/>
        </w:rPr>
        <w:t>g</w:t>
      </w:r>
      <w:r>
        <w:rPr>
          <w:rFonts w:ascii="Book Antiqua" w:hAnsi="Book Antiqua"/>
          <w:bCs/>
          <w:sz w:val="24"/>
          <w:szCs w:val="24"/>
          <w:lang w:val="en-US"/>
        </w:rPr>
        <w:t xml:space="preserve">ap of Rs 506 Crores projected by TPSODL </w:t>
      </w:r>
      <w:r w:rsidR="00DB5BAE">
        <w:rPr>
          <w:rFonts w:ascii="Book Antiqua" w:hAnsi="Book Antiqua"/>
          <w:bCs/>
          <w:sz w:val="24"/>
          <w:szCs w:val="24"/>
          <w:lang w:val="en-US"/>
        </w:rPr>
        <w:t>by 31</w:t>
      </w:r>
      <w:r w:rsidR="00DB5BAE" w:rsidRPr="00DB5BAE">
        <w:rPr>
          <w:rFonts w:ascii="Book Antiqua" w:hAnsi="Book Antiqua"/>
          <w:bCs/>
          <w:sz w:val="24"/>
          <w:szCs w:val="24"/>
          <w:vertAlign w:val="superscript"/>
          <w:lang w:val="en-US"/>
        </w:rPr>
        <w:t>st</w:t>
      </w:r>
      <w:r w:rsidR="00DB5BAE">
        <w:rPr>
          <w:rFonts w:ascii="Book Antiqua" w:hAnsi="Book Antiqua"/>
          <w:bCs/>
          <w:sz w:val="24"/>
          <w:szCs w:val="24"/>
          <w:lang w:val="en-US"/>
        </w:rPr>
        <w:t xml:space="preserve"> March 2024</w:t>
      </w:r>
    </w:p>
    <w:p w14:paraId="0727A8AD" w14:textId="1723A7FC" w:rsidR="00A820DD" w:rsidRDefault="00A820DD" w:rsidP="00E84959">
      <w:pPr>
        <w:jc w:val="both"/>
        <w:rPr>
          <w:rFonts w:ascii="Book Antiqua" w:hAnsi="Book Antiqua"/>
          <w:bCs/>
          <w:sz w:val="24"/>
          <w:szCs w:val="24"/>
          <w:lang w:val="en-US"/>
        </w:rPr>
      </w:pPr>
    </w:p>
    <w:p w14:paraId="110849D6" w14:textId="2893B248" w:rsidR="008D298E" w:rsidRPr="00832C71" w:rsidRDefault="0092474C" w:rsidP="0092474C">
      <w:pPr>
        <w:pStyle w:val="ListParagraph"/>
        <w:numPr>
          <w:ilvl w:val="0"/>
          <w:numId w:val="10"/>
        </w:numPr>
        <w:jc w:val="both"/>
        <w:rPr>
          <w:rFonts w:ascii="Book Antiqua" w:hAnsi="Book Antiqua"/>
          <w:b/>
          <w:bCs/>
          <w:sz w:val="24"/>
          <w:szCs w:val="24"/>
          <w:lang w:val="en-US"/>
        </w:rPr>
      </w:pPr>
      <w:r>
        <w:rPr>
          <w:rFonts w:ascii="Book Antiqua" w:hAnsi="Book Antiqua"/>
          <w:b/>
          <w:bCs/>
          <w:sz w:val="24"/>
          <w:szCs w:val="24"/>
          <w:lang w:val="en-US"/>
        </w:rPr>
        <w:t>Objection</w:t>
      </w:r>
      <w:r w:rsidR="008D298E">
        <w:rPr>
          <w:rFonts w:ascii="Book Antiqua" w:hAnsi="Book Antiqua"/>
          <w:b/>
          <w:bCs/>
          <w:sz w:val="24"/>
          <w:szCs w:val="24"/>
          <w:lang w:val="en-US"/>
        </w:rPr>
        <w:t xml:space="preserve"> on </w:t>
      </w:r>
      <w:r>
        <w:rPr>
          <w:rFonts w:ascii="Book Antiqua" w:hAnsi="Book Antiqua"/>
          <w:b/>
          <w:bCs/>
          <w:sz w:val="24"/>
          <w:szCs w:val="24"/>
          <w:lang w:val="en-US"/>
        </w:rPr>
        <w:t>O&amp;M Costs</w:t>
      </w:r>
    </w:p>
    <w:p w14:paraId="060556CF" w14:textId="543051BD" w:rsidR="008D298E" w:rsidRDefault="008D298E" w:rsidP="008D298E">
      <w:pPr>
        <w:jc w:val="both"/>
        <w:rPr>
          <w:rFonts w:ascii="Book Antiqua" w:hAnsi="Book Antiqua"/>
          <w:bCs/>
          <w:sz w:val="24"/>
          <w:szCs w:val="24"/>
          <w:lang w:val="en-US"/>
        </w:rPr>
      </w:pPr>
    </w:p>
    <w:p w14:paraId="5CBCADE1" w14:textId="1CD80C5F" w:rsidR="0092474C" w:rsidRDefault="0092474C" w:rsidP="008D298E">
      <w:pPr>
        <w:jc w:val="both"/>
        <w:rPr>
          <w:rFonts w:ascii="Book Antiqua" w:hAnsi="Book Antiqua"/>
          <w:bCs/>
          <w:i/>
          <w:sz w:val="24"/>
          <w:szCs w:val="24"/>
          <w:lang w:val="en-US"/>
        </w:rPr>
      </w:pPr>
      <w:r>
        <w:rPr>
          <w:rFonts w:ascii="Book Antiqua" w:hAnsi="Book Antiqua"/>
          <w:bCs/>
          <w:i/>
          <w:sz w:val="24"/>
          <w:szCs w:val="24"/>
          <w:lang w:val="en-US"/>
        </w:rPr>
        <w:t>There is an abnormal rise in O&amp;M Expenditure. It is necessary to scrutinize the O&amp;M Costs</w:t>
      </w:r>
    </w:p>
    <w:p w14:paraId="3AA342F4" w14:textId="244C57F8" w:rsidR="0092474C" w:rsidRDefault="0092474C" w:rsidP="008D298E">
      <w:pPr>
        <w:jc w:val="both"/>
        <w:rPr>
          <w:rFonts w:ascii="Book Antiqua" w:hAnsi="Book Antiqua"/>
          <w:bCs/>
          <w:i/>
          <w:sz w:val="24"/>
          <w:szCs w:val="24"/>
          <w:lang w:val="en-US"/>
        </w:rPr>
      </w:pPr>
    </w:p>
    <w:p w14:paraId="1FD789F5" w14:textId="5750529C" w:rsidR="0092474C" w:rsidRPr="0092474C" w:rsidRDefault="0092474C" w:rsidP="008D298E">
      <w:pPr>
        <w:jc w:val="both"/>
        <w:rPr>
          <w:rFonts w:ascii="Book Antiqua" w:hAnsi="Book Antiqua"/>
          <w:b/>
          <w:bCs/>
          <w:sz w:val="24"/>
          <w:szCs w:val="24"/>
          <w:u w:val="single"/>
          <w:lang w:val="en-US"/>
        </w:rPr>
      </w:pPr>
      <w:r w:rsidRPr="0092474C">
        <w:rPr>
          <w:rFonts w:ascii="Book Antiqua" w:hAnsi="Book Antiqua"/>
          <w:b/>
          <w:bCs/>
          <w:sz w:val="24"/>
          <w:szCs w:val="24"/>
          <w:u w:val="single"/>
          <w:lang w:val="en-US"/>
        </w:rPr>
        <w:t>Response</w:t>
      </w:r>
    </w:p>
    <w:p w14:paraId="7FEEB320" w14:textId="09B71A2D" w:rsidR="008D298E" w:rsidRDefault="008D298E" w:rsidP="0092474C">
      <w:pPr>
        <w:tabs>
          <w:tab w:val="left" w:pos="2898"/>
        </w:tabs>
        <w:jc w:val="both"/>
        <w:rPr>
          <w:rFonts w:ascii="Book Antiqua" w:hAnsi="Book Antiqua"/>
          <w:bCs/>
          <w:sz w:val="24"/>
          <w:szCs w:val="24"/>
          <w:lang w:val="en-US"/>
        </w:rPr>
      </w:pPr>
      <w:r>
        <w:rPr>
          <w:rFonts w:ascii="Book Antiqua" w:hAnsi="Book Antiqua"/>
          <w:bCs/>
          <w:sz w:val="24"/>
          <w:szCs w:val="24"/>
          <w:lang w:val="en-US"/>
        </w:rPr>
        <w:t>We wish to submit that TPSODL has commenced its operation on 1</w:t>
      </w:r>
      <w:r w:rsidRPr="005212D7">
        <w:rPr>
          <w:rFonts w:ascii="Book Antiqua" w:hAnsi="Book Antiqua"/>
          <w:bCs/>
          <w:sz w:val="24"/>
          <w:szCs w:val="24"/>
          <w:vertAlign w:val="superscript"/>
          <w:lang w:val="en-US"/>
        </w:rPr>
        <w:t>st</w:t>
      </w:r>
      <w:r>
        <w:rPr>
          <w:rFonts w:ascii="Book Antiqua" w:hAnsi="Book Antiqua"/>
          <w:bCs/>
          <w:sz w:val="24"/>
          <w:szCs w:val="24"/>
          <w:lang w:val="en-US"/>
        </w:rPr>
        <w:t xml:space="preserve"> January 2021. </w:t>
      </w:r>
      <w:proofErr w:type="gramStart"/>
      <w:r>
        <w:rPr>
          <w:rFonts w:ascii="Book Antiqua" w:hAnsi="Book Antiqua"/>
          <w:bCs/>
          <w:sz w:val="24"/>
          <w:szCs w:val="24"/>
          <w:lang w:val="en-US"/>
        </w:rPr>
        <w:t>Accordingly ,</w:t>
      </w:r>
      <w:proofErr w:type="gramEnd"/>
      <w:r>
        <w:rPr>
          <w:rFonts w:ascii="Book Antiqua" w:hAnsi="Book Antiqua"/>
          <w:bCs/>
          <w:sz w:val="24"/>
          <w:szCs w:val="24"/>
          <w:lang w:val="en-US"/>
        </w:rPr>
        <w:t xml:space="preserve"> FY 2023-24 is the 2</w:t>
      </w:r>
      <w:r w:rsidRPr="005212D7">
        <w:rPr>
          <w:rFonts w:ascii="Book Antiqua" w:hAnsi="Book Antiqua"/>
          <w:bCs/>
          <w:sz w:val="24"/>
          <w:szCs w:val="24"/>
          <w:vertAlign w:val="superscript"/>
          <w:lang w:val="en-US"/>
        </w:rPr>
        <w:t>nd</w:t>
      </w:r>
      <w:r>
        <w:rPr>
          <w:rFonts w:ascii="Book Antiqua" w:hAnsi="Book Antiqua"/>
          <w:bCs/>
          <w:sz w:val="24"/>
          <w:szCs w:val="24"/>
          <w:lang w:val="en-US"/>
        </w:rPr>
        <w:t xml:space="preserve"> full year of operation after excluding the </w:t>
      </w:r>
      <w:r w:rsidR="00DB5BAE">
        <w:rPr>
          <w:rFonts w:ascii="Book Antiqua" w:hAnsi="Book Antiqua"/>
          <w:bCs/>
          <w:sz w:val="24"/>
          <w:szCs w:val="24"/>
          <w:lang w:val="en-US"/>
        </w:rPr>
        <w:t xml:space="preserve">initial </w:t>
      </w:r>
      <w:r>
        <w:rPr>
          <w:rFonts w:ascii="Book Antiqua" w:hAnsi="Book Antiqua"/>
          <w:bCs/>
          <w:sz w:val="24"/>
          <w:szCs w:val="24"/>
          <w:lang w:val="en-US"/>
        </w:rPr>
        <w:t>3 months of operation</w:t>
      </w:r>
      <w:r w:rsidR="00DB5BAE">
        <w:rPr>
          <w:rFonts w:ascii="Book Antiqua" w:hAnsi="Book Antiqua"/>
          <w:bCs/>
          <w:sz w:val="24"/>
          <w:szCs w:val="24"/>
          <w:lang w:val="en-US"/>
        </w:rPr>
        <w:t xml:space="preserve"> in FY 2020-21</w:t>
      </w:r>
      <w:r>
        <w:rPr>
          <w:rFonts w:ascii="Book Antiqua" w:hAnsi="Book Antiqua"/>
          <w:bCs/>
          <w:sz w:val="24"/>
          <w:szCs w:val="24"/>
          <w:lang w:val="en-US"/>
        </w:rPr>
        <w:t xml:space="preserve">. During the initial year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FY 2021-22, TPSODL was establishing the processes and practices. Hence the expenditure of FY 2021-22 is not reflective of the stabilized operation and the costs incurred in FY 2021-22 do not present or for the base for the expenditure to be incurred in the future years. </w:t>
      </w:r>
    </w:p>
    <w:p w14:paraId="035AE1AB" w14:textId="275F57AE" w:rsidR="008D298E" w:rsidRDefault="008D298E" w:rsidP="008D298E">
      <w:pPr>
        <w:jc w:val="both"/>
        <w:rPr>
          <w:rFonts w:ascii="Book Antiqua" w:hAnsi="Book Antiqua"/>
          <w:bCs/>
          <w:sz w:val="24"/>
          <w:szCs w:val="24"/>
          <w:lang w:val="en-US"/>
        </w:rPr>
      </w:pPr>
    </w:p>
    <w:p w14:paraId="0FB36669" w14:textId="39E7A8C1" w:rsidR="0092474C" w:rsidRPr="0092474C" w:rsidRDefault="0092474C" w:rsidP="008D298E">
      <w:pPr>
        <w:jc w:val="both"/>
        <w:rPr>
          <w:rFonts w:ascii="Book Antiqua" w:hAnsi="Book Antiqua"/>
          <w:b/>
          <w:bCs/>
          <w:sz w:val="24"/>
          <w:szCs w:val="24"/>
          <w:u w:val="single"/>
          <w:lang w:val="en-US"/>
        </w:rPr>
      </w:pPr>
      <w:r w:rsidRPr="0092474C">
        <w:rPr>
          <w:rFonts w:ascii="Book Antiqua" w:hAnsi="Book Antiqua"/>
          <w:b/>
          <w:bCs/>
          <w:sz w:val="24"/>
          <w:szCs w:val="24"/>
          <w:u w:val="single"/>
          <w:lang w:val="en-US"/>
        </w:rPr>
        <w:t>Employee Expenditure</w:t>
      </w:r>
    </w:p>
    <w:p w14:paraId="50900728" w14:textId="601DF7DF" w:rsidR="008D298E" w:rsidRDefault="008D298E" w:rsidP="008D298E">
      <w:pPr>
        <w:jc w:val="both"/>
        <w:rPr>
          <w:rFonts w:ascii="Book Antiqua" w:hAnsi="Book Antiqua"/>
          <w:bCs/>
          <w:sz w:val="24"/>
          <w:szCs w:val="24"/>
          <w:lang w:val="en-US"/>
        </w:rPr>
      </w:pPr>
      <w:r>
        <w:rPr>
          <w:rFonts w:ascii="Book Antiqua" w:hAnsi="Book Antiqua"/>
          <w:bCs/>
          <w:sz w:val="24"/>
          <w:szCs w:val="24"/>
          <w:lang w:val="en-US"/>
        </w:rPr>
        <w:t xml:space="preserve">The Hon’ble OERC has also been acknowledging the </w:t>
      </w:r>
      <w:proofErr w:type="gramStart"/>
      <w:r>
        <w:rPr>
          <w:rFonts w:ascii="Book Antiqua" w:hAnsi="Book Antiqua"/>
          <w:bCs/>
          <w:sz w:val="24"/>
          <w:szCs w:val="24"/>
          <w:lang w:val="en-US"/>
        </w:rPr>
        <w:t xml:space="preserve">above </w:t>
      </w:r>
      <w:r w:rsidR="00DB5BAE">
        <w:rPr>
          <w:rFonts w:ascii="Book Antiqua" w:hAnsi="Book Antiqua"/>
          <w:bCs/>
          <w:sz w:val="24"/>
          <w:szCs w:val="24"/>
          <w:lang w:val="en-US"/>
        </w:rPr>
        <w:t xml:space="preserve"> situation</w:t>
      </w:r>
      <w:proofErr w:type="gramEnd"/>
      <w:r w:rsidR="00DB5BAE">
        <w:rPr>
          <w:rFonts w:ascii="Book Antiqua" w:hAnsi="Book Antiqua"/>
          <w:bCs/>
          <w:sz w:val="24"/>
          <w:szCs w:val="24"/>
          <w:lang w:val="en-US"/>
        </w:rPr>
        <w:t xml:space="preserve"> </w:t>
      </w:r>
      <w:r>
        <w:rPr>
          <w:rFonts w:ascii="Book Antiqua" w:hAnsi="Book Antiqua"/>
          <w:bCs/>
          <w:sz w:val="24"/>
          <w:szCs w:val="24"/>
          <w:lang w:val="en-US"/>
        </w:rPr>
        <w:t xml:space="preserve">and has been in a way providing scope for expenditure above the approved amount subject to prudence check. The relevant extracts from the Tariff Order for FY 2022-23 </w:t>
      </w:r>
      <w:r w:rsidR="00DB5BAE">
        <w:rPr>
          <w:rFonts w:ascii="Book Antiqua" w:hAnsi="Book Antiqua"/>
          <w:bCs/>
          <w:sz w:val="24"/>
          <w:szCs w:val="24"/>
          <w:lang w:val="en-US"/>
        </w:rPr>
        <w:t xml:space="preserve">with regards to Employee Costs </w:t>
      </w:r>
      <w:r>
        <w:rPr>
          <w:rFonts w:ascii="Book Antiqua" w:hAnsi="Book Antiqua"/>
          <w:bCs/>
          <w:sz w:val="24"/>
          <w:szCs w:val="24"/>
          <w:lang w:val="en-US"/>
        </w:rPr>
        <w:t>is as follows:</w:t>
      </w:r>
    </w:p>
    <w:p w14:paraId="406F5F8D" w14:textId="77777777" w:rsidR="008D298E" w:rsidRDefault="008D298E" w:rsidP="008D298E">
      <w:pPr>
        <w:jc w:val="both"/>
        <w:rPr>
          <w:rFonts w:ascii="Book Antiqua" w:hAnsi="Book Antiqua"/>
          <w:bCs/>
          <w:sz w:val="24"/>
          <w:szCs w:val="24"/>
          <w:lang w:val="en-US"/>
        </w:rPr>
      </w:pPr>
    </w:p>
    <w:p w14:paraId="0BB16BC8" w14:textId="77777777" w:rsidR="008D298E" w:rsidRPr="00F665BE" w:rsidRDefault="008D298E" w:rsidP="008D298E">
      <w:pPr>
        <w:ind w:left="720"/>
        <w:jc w:val="both"/>
        <w:rPr>
          <w:rFonts w:ascii="Book Antiqua" w:hAnsi="Book Antiqua"/>
          <w:bCs/>
          <w:i/>
          <w:sz w:val="24"/>
          <w:szCs w:val="24"/>
          <w:lang w:val="en-US"/>
        </w:rPr>
      </w:pPr>
      <w:r w:rsidRPr="00F665BE">
        <w:rPr>
          <w:rFonts w:ascii="Book Antiqua" w:hAnsi="Book Antiqua"/>
          <w:bCs/>
          <w:i/>
          <w:sz w:val="24"/>
          <w:szCs w:val="24"/>
          <w:lang w:val="en-US"/>
        </w:rPr>
        <w:t>116. It is directed that employee cost needs to be incurred in the ARR order, ABP order and any other directions by the Commission in this regard. Any expenses beyond the approval need to be justified in the true up petition.</w:t>
      </w:r>
    </w:p>
    <w:p w14:paraId="30809D0B" w14:textId="77777777" w:rsidR="008D298E" w:rsidRDefault="008D298E" w:rsidP="008D298E">
      <w:pPr>
        <w:jc w:val="both"/>
        <w:rPr>
          <w:rFonts w:ascii="Book Antiqua" w:hAnsi="Book Antiqua"/>
          <w:bCs/>
          <w:sz w:val="24"/>
          <w:szCs w:val="24"/>
          <w:lang w:val="en-US"/>
        </w:rPr>
      </w:pPr>
    </w:p>
    <w:p w14:paraId="51156A1D" w14:textId="77777777" w:rsidR="008D298E" w:rsidRDefault="008D298E" w:rsidP="008D298E">
      <w:pPr>
        <w:jc w:val="both"/>
        <w:rPr>
          <w:rFonts w:ascii="Book Antiqua" w:hAnsi="Book Antiqua"/>
          <w:bCs/>
          <w:sz w:val="24"/>
          <w:szCs w:val="24"/>
          <w:lang w:val="en-US"/>
        </w:rPr>
      </w:pPr>
      <w:r>
        <w:rPr>
          <w:rFonts w:ascii="Book Antiqua" w:hAnsi="Book Antiqua"/>
          <w:bCs/>
          <w:sz w:val="24"/>
          <w:szCs w:val="24"/>
          <w:lang w:val="en-US"/>
        </w:rPr>
        <w:t>The period of FY 2022-23 reasonably presents the expenditure of a stabilized operation and may be used for future projections. We have projected that the actual estimated expenditure for Rs 545.8 Crores for FY 2022-23. Considering a rise of about 8% for rise in salaries, the expenditure works out Rs 592 Crores. In addition, TPSODL is enhancing its activities in FY 2023-24 which will require additional recruitment and thereby additional cost.</w:t>
      </w:r>
    </w:p>
    <w:p w14:paraId="3D94C070" w14:textId="77777777" w:rsidR="008D298E" w:rsidRDefault="008D298E" w:rsidP="008D298E">
      <w:pPr>
        <w:jc w:val="both"/>
        <w:rPr>
          <w:rFonts w:ascii="Book Antiqua" w:hAnsi="Book Antiqua"/>
          <w:bCs/>
          <w:sz w:val="24"/>
          <w:szCs w:val="24"/>
          <w:lang w:val="en-US"/>
        </w:rPr>
      </w:pPr>
    </w:p>
    <w:p w14:paraId="0EA763BB" w14:textId="77777777" w:rsidR="008D298E" w:rsidRDefault="008D298E" w:rsidP="008D298E">
      <w:pPr>
        <w:jc w:val="both"/>
        <w:rPr>
          <w:rFonts w:ascii="Book Antiqua" w:hAnsi="Book Antiqua"/>
          <w:bCs/>
          <w:sz w:val="24"/>
          <w:szCs w:val="24"/>
          <w:lang w:val="en-US"/>
        </w:rPr>
      </w:pPr>
      <w:r>
        <w:rPr>
          <w:rFonts w:ascii="Book Antiqua" w:hAnsi="Book Antiqua"/>
          <w:bCs/>
          <w:sz w:val="24"/>
          <w:szCs w:val="24"/>
          <w:lang w:val="en-US"/>
        </w:rPr>
        <w:t xml:space="preserve">In summary, TPSODL has presented the projection of Employee Expenditure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Erstwhile Southco, New Employees and Out Sourced Employee based on the present expenditure, estimated increase in salary and additional amount due to new recruitment.</w:t>
      </w:r>
    </w:p>
    <w:p w14:paraId="46A9A4A5" w14:textId="77777777" w:rsidR="008D298E" w:rsidRDefault="008D298E" w:rsidP="008D298E">
      <w:pPr>
        <w:jc w:val="both"/>
        <w:rPr>
          <w:rFonts w:ascii="Book Antiqua" w:hAnsi="Book Antiqua"/>
          <w:bCs/>
          <w:sz w:val="24"/>
          <w:szCs w:val="24"/>
          <w:lang w:val="en-US"/>
        </w:rPr>
      </w:pPr>
    </w:p>
    <w:p w14:paraId="751E321E" w14:textId="3F5B5341" w:rsidR="008D298E" w:rsidRPr="0092474C" w:rsidRDefault="0092474C" w:rsidP="0092474C">
      <w:pPr>
        <w:jc w:val="both"/>
        <w:rPr>
          <w:rFonts w:ascii="Book Antiqua" w:hAnsi="Book Antiqua"/>
          <w:b/>
          <w:bCs/>
          <w:sz w:val="24"/>
          <w:szCs w:val="24"/>
          <w:u w:val="single"/>
          <w:lang w:val="en-US"/>
        </w:rPr>
      </w:pPr>
      <w:r>
        <w:rPr>
          <w:rFonts w:ascii="Book Antiqua" w:hAnsi="Book Antiqua"/>
          <w:b/>
          <w:bCs/>
          <w:sz w:val="24"/>
          <w:szCs w:val="24"/>
          <w:u w:val="single"/>
          <w:lang w:val="en-US"/>
        </w:rPr>
        <w:t>R&amp;M Expenditure</w:t>
      </w:r>
      <w:r w:rsidR="008D298E" w:rsidRPr="0092474C">
        <w:rPr>
          <w:rFonts w:ascii="Book Antiqua" w:hAnsi="Book Antiqua"/>
          <w:b/>
          <w:bCs/>
          <w:sz w:val="24"/>
          <w:szCs w:val="24"/>
          <w:u w:val="single"/>
          <w:lang w:val="en-US"/>
        </w:rPr>
        <w:t xml:space="preserve"> –</w:t>
      </w:r>
    </w:p>
    <w:p w14:paraId="488DBA40" w14:textId="77777777" w:rsidR="008D298E" w:rsidRDefault="008D298E" w:rsidP="008D298E">
      <w:pPr>
        <w:jc w:val="both"/>
        <w:rPr>
          <w:rFonts w:ascii="Book Antiqua" w:hAnsi="Book Antiqua"/>
          <w:bCs/>
          <w:sz w:val="24"/>
          <w:szCs w:val="24"/>
          <w:lang w:val="en-US"/>
        </w:rPr>
      </w:pPr>
    </w:p>
    <w:p w14:paraId="002F0019" w14:textId="77777777" w:rsidR="008D298E" w:rsidRDefault="008D298E" w:rsidP="008D298E">
      <w:pPr>
        <w:jc w:val="both"/>
        <w:rPr>
          <w:rFonts w:ascii="Book Antiqua" w:hAnsi="Book Antiqua"/>
          <w:bCs/>
          <w:sz w:val="24"/>
          <w:szCs w:val="24"/>
          <w:lang w:val="en-US"/>
        </w:rPr>
      </w:pPr>
      <w:r>
        <w:rPr>
          <w:rFonts w:ascii="Book Antiqua" w:hAnsi="Book Antiqua"/>
          <w:bCs/>
          <w:sz w:val="24"/>
          <w:szCs w:val="24"/>
          <w:lang w:val="en-US"/>
        </w:rPr>
        <w:t>In this regard, TPSODL would like to submit the following:</w:t>
      </w:r>
    </w:p>
    <w:p w14:paraId="26236034" w14:textId="77777777" w:rsidR="008D298E" w:rsidRDefault="008D298E" w:rsidP="008D298E">
      <w:pPr>
        <w:jc w:val="both"/>
        <w:rPr>
          <w:rFonts w:ascii="Book Antiqua" w:hAnsi="Book Antiqua"/>
          <w:bCs/>
          <w:sz w:val="24"/>
          <w:szCs w:val="24"/>
          <w:lang w:val="en-US"/>
        </w:rPr>
      </w:pPr>
    </w:p>
    <w:p w14:paraId="362E694F" w14:textId="77777777" w:rsidR="008D298E" w:rsidRPr="001E5C7B" w:rsidRDefault="008D298E" w:rsidP="008D298E">
      <w:pPr>
        <w:pStyle w:val="Heading3"/>
        <w:numPr>
          <w:ilvl w:val="2"/>
          <w:numId w:val="18"/>
        </w:numPr>
      </w:pPr>
      <w:r w:rsidRPr="001E5C7B">
        <w:t xml:space="preserve">The Hon’ble Commission has been approving R&amp;M Expenditure for assets owned by TPSODL @ 5.4% of the Opening </w:t>
      </w:r>
      <w:proofErr w:type="gramStart"/>
      <w:r w:rsidRPr="001E5C7B">
        <w:t>GFA .</w:t>
      </w:r>
      <w:proofErr w:type="gramEnd"/>
      <w:r w:rsidRPr="001E5C7B">
        <w:t xml:space="preserve"> In addition, the Hon’ble Commission has been allowing additional amount for maintenance of assets that are not on the Balance Sheet of TPSODL. The approved amount for FY 2022-23 thus works out to Rs </w:t>
      </w:r>
      <w:r>
        <w:t>90.24</w:t>
      </w:r>
      <w:r w:rsidRPr="001E5C7B">
        <w:t xml:space="preserve"> Crores.</w:t>
      </w:r>
    </w:p>
    <w:p w14:paraId="2D8AC954" w14:textId="77777777" w:rsidR="008D298E" w:rsidRPr="001E5C7B" w:rsidRDefault="008D298E" w:rsidP="008D298E"/>
    <w:p w14:paraId="405A55E3" w14:textId="77777777" w:rsidR="008D298E" w:rsidRPr="001E5C7B" w:rsidRDefault="008D298E" w:rsidP="008D298E">
      <w:pPr>
        <w:pStyle w:val="Heading3"/>
        <w:numPr>
          <w:ilvl w:val="2"/>
          <w:numId w:val="18"/>
        </w:numPr>
      </w:pPr>
      <w:r>
        <w:t xml:space="preserve">We wish to submit that </w:t>
      </w:r>
      <w:r w:rsidRPr="001E5C7B">
        <w:t>the estimated expenditure for FY 2022-23 would be higher than the approved expenditure. In this regard we would like to submit the following:</w:t>
      </w:r>
    </w:p>
    <w:p w14:paraId="649DAC0C" w14:textId="77777777" w:rsidR="008D298E" w:rsidRPr="001E5C7B" w:rsidRDefault="008D298E" w:rsidP="008D298E">
      <w:pPr>
        <w:rPr>
          <w:rFonts w:ascii="Book Antiqua" w:hAnsi="Book Antiqua"/>
          <w:sz w:val="24"/>
          <w:szCs w:val="24"/>
        </w:rPr>
      </w:pPr>
    </w:p>
    <w:p w14:paraId="0FDE263F" w14:textId="77777777" w:rsidR="008D298E" w:rsidRPr="001E5C7B" w:rsidRDefault="008D298E" w:rsidP="008D298E">
      <w:pPr>
        <w:pStyle w:val="ListParagraph"/>
        <w:numPr>
          <w:ilvl w:val="0"/>
          <w:numId w:val="16"/>
        </w:numPr>
        <w:jc w:val="both"/>
        <w:rPr>
          <w:rFonts w:ascii="Book Antiqua" w:hAnsi="Book Antiqua"/>
          <w:sz w:val="24"/>
          <w:szCs w:val="24"/>
        </w:rPr>
      </w:pPr>
      <w:r w:rsidRPr="001E5C7B">
        <w:rPr>
          <w:rFonts w:ascii="Book Antiqua" w:hAnsi="Book Antiqua"/>
          <w:sz w:val="24"/>
          <w:szCs w:val="24"/>
        </w:rPr>
        <w:t xml:space="preserve">One of the reasons for inadequate reliability as well as the high technical loss is that sufficient quantum is not spent on R&amp;M Expenditure. It is noted that the due to shortage of funds under these heads, the erstwhile discom had resorted to only breakdown maintenance which takes its toll on the reliability of the Network. Unless sufficient amounts are allowed by the State Regulatory Commissions in this head, the Distribution licensee is reluctant to take up any preventive maintenance and </w:t>
      </w:r>
      <w:proofErr w:type="gramStart"/>
      <w:r w:rsidRPr="001E5C7B">
        <w:rPr>
          <w:rFonts w:ascii="Book Antiqua" w:hAnsi="Book Antiqua"/>
          <w:sz w:val="24"/>
          <w:szCs w:val="24"/>
        </w:rPr>
        <w:t>condition based</w:t>
      </w:r>
      <w:proofErr w:type="gramEnd"/>
      <w:r w:rsidRPr="001E5C7B">
        <w:rPr>
          <w:rFonts w:ascii="Book Antiqua" w:hAnsi="Book Antiqua"/>
          <w:sz w:val="24"/>
          <w:szCs w:val="24"/>
        </w:rPr>
        <w:t xml:space="preserve"> maintenance.</w:t>
      </w:r>
    </w:p>
    <w:p w14:paraId="586E0937" w14:textId="77777777" w:rsidR="008D298E" w:rsidRPr="001E5C7B" w:rsidRDefault="008D298E" w:rsidP="008D298E">
      <w:pPr>
        <w:rPr>
          <w:rFonts w:ascii="Book Antiqua" w:hAnsi="Book Antiqua"/>
          <w:sz w:val="24"/>
          <w:szCs w:val="24"/>
        </w:rPr>
      </w:pPr>
    </w:p>
    <w:p w14:paraId="10646404" w14:textId="77777777" w:rsidR="008D298E" w:rsidRPr="001E5C7B" w:rsidRDefault="008D298E" w:rsidP="008D298E">
      <w:pPr>
        <w:pStyle w:val="ListParagraph"/>
        <w:numPr>
          <w:ilvl w:val="0"/>
          <w:numId w:val="16"/>
        </w:numPr>
        <w:jc w:val="both"/>
        <w:rPr>
          <w:rFonts w:ascii="Book Antiqua" w:hAnsi="Book Antiqua" w:cs="CIDFont+F3"/>
          <w:sz w:val="24"/>
          <w:szCs w:val="24"/>
        </w:rPr>
      </w:pPr>
      <w:r w:rsidRPr="001E5C7B">
        <w:rPr>
          <w:rFonts w:ascii="Book Antiqua" w:hAnsi="Book Antiqua" w:cs="CIDFont+F3"/>
          <w:sz w:val="24"/>
          <w:szCs w:val="24"/>
        </w:rPr>
        <w:t xml:space="preserve">In the pursuit of improving reliability, it is necessary to resort to preventive maintenance instead of Breakdown maintenance., as was done in the past. Such preventive maintenance is achieved through outsourcing of such work by </w:t>
      </w:r>
      <w:r w:rsidRPr="001E5C7B">
        <w:rPr>
          <w:rFonts w:ascii="Book Antiqua" w:hAnsi="Book Antiqua"/>
          <w:sz w:val="24"/>
          <w:szCs w:val="24"/>
        </w:rPr>
        <w:t>placement</w:t>
      </w:r>
      <w:r w:rsidRPr="001E5C7B">
        <w:rPr>
          <w:rFonts w:ascii="Book Antiqua" w:hAnsi="Book Antiqua" w:cs="CIDFont+F3"/>
          <w:sz w:val="24"/>
          <w:szCs w:val="24"/>
        </w:rPr>
        <w:t xml:space="preserve"> of performance based Annual Maintenance Contract (AMC). Such contracts involve the selected Business Associate (BAs) to </w:t>
      </w:r>
      <w:proofErr w:type="gramStart"/>
      <w:r w:rsidRPr="001E5C7B">
        <w:rPr>
          <w:rFonts w:ascii="Book Antiqua" w:hAnsi="Book Antiqua" w:cs="CIDFont+F3"/>
          <w:sz w:val="24"/>
          <w:szCs w:val="24"/>
        </w:rPr>
        <w:t>carry  out</w:t>
      </w:r>
      <w:proofErr w:type="gramEnd"/>
      <w:r w:rsidRPr="001E5C7B">
        <w:rPr>
          <w:rFonts w:ascii="Book Antiqua" w:hAnsi="Book Antiqua" w:cs="CIDFont+F3"/>
          <w:sz w:val="24"/>
          <w:szCs w:val="24"/>
        </w:rPr>
        <w:t xml:space="preserve"> regular surveillance in their operational area for timely detection of abnormal operating conditions of the equipment and report the findings to respective Area-in-Charge so that corrective actions can be initiated, implemented and monitored to prevent failures.</w:t>
      </w:r>
      <w:r>
        <w:rPr>
          <w:rFonts w:ascii="Book Antiqua" w:hAnsi="Book Antiqua" w:cs="CIDFont+F3"/>
          <w:sz w:val="24"/>
          <w:szCs w:val="24"/>
        </w:rPr>
        <w:t xml:space="preserve"> </w:t>
      </w:r>
      <w:r w:rsidRPr="001E5C7B">
        <w:rPr>
          <w:rFonts w:ascii="Book Antiqua" w:hAnsi="Book Antiqua" w:cs="CIDFont+F3"/>
          <w:sz w:val="24"/>
          <w:szCs w:val="24"/>
        </w:rPr>
        <w:t xml:space="preserve">It also involves rectification and maintenance of Overhead System, repairing/replacement of </w:t>
      </w:r>
      <w:proofErr w:type="spellStart"/>
      <w:proofErr w:type="gramStart"/>
      <w:r w:rsidRPr="001E5C7B">
        <w:rPr>
          <w:rFonts w:ascii="Book Antiqua" w:hAnsi="Book Antiqua" w:cs="CIDFont+F3"/>
          <w:sz w:val="24"/>
          <w:szCs w:val="24"/>
        </w:rPr>
        <w:t>equipments</w:t>
      </w:r>
      <w:proofErr w:type="spellEnd"/>
      <w:r w:rsidRPr="001E5C7B">
        <w:rPr>
          <w:rFonts w:ascii="Book Antiqua" w:hAnsi="Book Antiqua" w:cs="CIDFont+F3"/>
          <w:sz w:val="24"/>
          <w:szCs w:val="24"/>
        </w:rPr>
        <w:t xml:space="preserve"> </w:t>
      </w:r>
      <w:r>
        <w:rPr>
          <w:rFonts w:ascii="Book Antiqua" w:hAnsi="Book Antiqua" w:cs="CIDFont+F3"/>
          <w:sz w:val="24"/>
          <w:szCs w:val="24"/>
        </w:rPr>
        <w:t>.</w:t>
      </w:r>
      <w:proofErr w:type="gramEnd"/>
      <w:r>
        <w:rPr>
          <w:rFonts w:ascii="Book Antiqua" w:hAnsi="Book Antiqua" w:cs="CIDFont+F3"/>
          <w:sz w:val="24"/>
          <w:szCs w:val="24"/>
        </w:rPr>
        <w:t xml:space="preserve"> This activity also includes </w:t>
      </w:r>
      <w:r w:rsidRPr="001E5C7B">
        <w:rPr>
          <w:rFonts w:ascii="Book Antiqua" w:hAnsi="Book Antiqua" w:cs="CIDFont+F3"/>
          <w:sz w:val="24"/>
          <w:szCs w:val="24"/>
        </w:rPr>
        <w:t>extensive trimming of trees, Daily and weekly registration of complaints</w:t>
      </w:r>
      <w:r>
        <w:rPr>
          <w:rFonts w:ascii="Book Antiqua" w:hAnsi="Book Antiqua" w:cs="CIDFont+F3"/>
          <w:sz w:val="24"/>
          <w:szCs w:val="24"/>
        </w:rPr>
        <w:t xml:space="preserve"> and their closures</w:t>
      </w:r>
      <w:r w:rsidRPr="001E5C7B">
        <w:rPr>
          <w:rFonts w:ascii="Book Antiqua" w:hAnsi="Book Antiqua" w:cs="CIDFont+F3"/>
          <w:sz w:val="24"/>
          <w:szCs w:val="24"/>
        </w:rPr>
        <w:t xml:space="preserve">. </w:t>
      </w:r>
    </w:p>
    <w:p w14:paraId="765DA98B" w14:textId="77777777" w:rsidR="008D298E" w:rsidRPr="001E5C7B" w:rsidRDefault="008D298E" w:rsidP="008D298E">
      <w:pPr>
        <w:pStyle w:val="ListParagraph"/>
        <w:spacing w:line="276" w:lineRule="auto"/>
        <w:jc w:val="both"/>
        <w:rPr>
          <w:rFonts w:ascii="Book Antiqua" w:hAnsi="Book Antiqua" w:cs="CIDFont+F3"/>
          <w:sz w:val="24"/>
          <w:szCs w:val="24"/>
        </w:rPr>
      </w:pPr>
    </w:p>
    <w:p w14:paraId="023E2D44" w14:textId="77777777" w:rsidR="008D298E" w:rsidRPr="001E5C7B" w:rsidRDefault="008D298E" w:rsidP="008D298E">
      <w:pPr>
        <w:pStyle w:val="ListParagraph"/>
        <w:numPr>
          <w:ilvl w:val="0"/>
          <w:numId w:val="16"/>
        </w:numPr>
        <w:jc w:val="both"/>
        <w:rPr>
          <w:rFonts w:ascii="Book Antiqua" w:hAnsi="Book Antiqua" w:cs="CIDFont+F3"/>
          <w:sz w:val="24"/>
          <w:szCs w:val="24"/>
        </w:rPr>
      </w:pPr>
      <w:r w:rsidRPr="001E5C7B">
        <w:rPr>
          <w:rFonts w:ascii="Book Antiqua" w:hAnsi="Book Antiqua" w:cs="CIDFont+F3"/>
          <w:sz w:val="24"/>
          <w:szCs w:val="24"/>
        </w:rPr>
        <w:t xml:space="preserve">Such R&amp;M also include </w:t>
      </w:r>
      <w:r w:rsidRPr="001E5C7B">
        <w:rPr>
          <w:rFonts w:ascii="Book Antiqua" w:hAnsi="Book Antiqua"/>
          <w:sz w:val="24"/>
          <w:szCs w:val="24"/>
        </w:rPr>
        <w:t>improved</w:t>
      </w:r>
      <w:r w:rsidRPr="001E5C7B">
        <w:rPr>
          <w:rFonts w:ascii="Book Antiqua" w:hAnsi="Book Antiqua" w:cs="CIDFont+F3"/>
          <w:sz w:val="24"/>
          <w:szCs w:val="24"/>
        </w:rPr>
        <w:t xml:space="preserve"> complaint handling as BAs are responsible for receiving and forwarding the call </w:t>
      </w:r>
      <w:proofErr w:type="spellStart"/>
      <w:r w:rsidRPr="001E5C7B">
        <w:rPr>
          <w:rFonts w:ascii="Book Antiqua" w:hAnsi="Book Antiqua" w:cs="CIDFont+F3"/>
          <w:sz w:val="24"/>
          <w:szCs w:val="24"/>
        </w:rPr>
        <w:t>center</w:t>
      </w:r>
      <w:proofErr w:type="spellEnd"/>
      <w:r w:rsidRPr="001E5C7B">
        <w:rPr>
          <w:rFonts w:ascii="Book Antiqua" w:hAnsi="Book Antiqua" w:cs="CIDFont+F3"/>
          <w:sz w:val="24"/>
          <w:szCs w:val="24"/>
        </w:rPr>
        <w:t xml:space="preserve"> and walk-in complaints, maintaining the records in the stipulated registers and complaint folios and escalate the complaints attended or apprehended to be attended beyond PA norms</w:t>
      </w:r>
    </w:p>
    <w:p w14:paraId="265B2F3E" w14:textId="77777777" w:rsidR="008D298E" w:rsidRPr="001E5C7B" w:rsidRDefault="008D298E" w:rsidP="008D298E">
      <w:pPr>
        <w:pStyle w:val="ListParagraph"/>
        <w:rPr>
          <w:rFonts w:ascii="Book Antiqua" w:hAnsi="Book Antiqua" w:cs="CIDFont+F3"/>
          <w:sz w:val="24"/>
          <w:szCs w:val="24"/>
        </w:rPr>
      </w:pPr>
    </w:p>
    <w:p w14:paraId="13303771" w14:textId="77777777" w:rsidR="008D298E" w:rsidRPr="001E5C7B" w:rsidRDefault="008D298E" w:rsidP="008D298E">
      <w:pPr>
        <w:pStyle w:val="ListParagraph"/>
        <w:numPr>
          <w:ilvl w:val="0"/>
          <w:numId w:val="16"/>
        </w:numPr>
        <w:jc w:val="both"/>
        <w:rPr>
          <w:rFonts w:ascii="Book Antiqua" w:hAnsi="Book Antiqua" w:cs="CIDFont+F3"/>
          <w:sz w:val="24"/>
          <w:szCs w:val="24"/>
        </w:rPr>
      </w:pPr>
      <w:r w:rsidRPr="001E5C7B">
        <w:rPr>
          <w:rFonts w:ascii="Book Antiqua" w:hAnsi="Book Antiqua" w:cs="CIDFont+F3"/>
          <w:sz w:val="24"/>
          <w:szCs w:val="24"/>
        </w:rPr>
        <w:t xml:space="preserve">It is further submitted that in addition to above AMC, in house expenditure is required to be incurred for Power Transformer repairs, DTS repairs, DSS Maintenance, DTR Replacement, 33 KV Line repairs and Maintenance, HT Line Maintenance, LV Line Maintenance and maintenance of other equipment. </w:t>
      </w:r>
    </w:p>
    <w:p w14:paraId="3BCBB355" w14:textId="77777777" w:rsidR="008D298E" w:rsidRPr="001E5C7B" w:rsidRDefault="008D298E" w:rsidP="008D298E">
      <w:pPr>
        <w:pStyle w:val="ListParagraph"/>
        <w:tabs>
          <w:tab w:val="left" w:pos="2928"/>
        </w:tabs>
        <w:spacing w:line="276" w:lineRule="auto"/>
        <w:jc w:val="both"/>
        <w:rPr>
          <w:rFonts w:ascii="Book Antiqua" w:hAnsi="Book Antiqua" w:cstheme="minorHAnsi"/>
        </w:rPr>
      </w:pPr>
    </w:p>
    <w:p w14:paraId="10AB9016" w14:textId="77777777" w:rsidR="008D298E" w:rsidRPr="001E5C7B" w:rsidRDefault="008D298E" w:rsidP="008D298E">
      <w:pPr>
        <w:pStyle w:val="ListParagraph"/>
        <w:numPr>
          <w:ilvl w:val="0"/>
          <w:numId w:val="16"/>
        </w:numPr>
        <w:jc w:val="both"/>
        <w:rPr>
          <w:rFonts w:ascii="Book Antiqua" w:hAnsi="Book Antiqua" w:cs="CIDFont+F3"/>
          <w:sz w:val="24"/>
          <w:szCs w:val="24"/>
        </w:rPr>
      </w:pPr>
      <w:r w:rsidRPr="001E5C7B">
        <w:rPr>
          <w:rFonts w:ascii="Book Antiqua" w:hAnsi="Book Antiqua" w:cs="CIDFont+F3"/>
          <w:sz w:val="24"/>
          <w:szCs w:val="24"/>
        </w:rPr>
        <w:t xml:space="preserve">It is therefore submitted that there would be substantial increase in the R&amp;M Expenditure after the privatisation process as this expenditure was not incurred in the past on account of AMC as well as on account of other factors. </w:t>
      </w:r>
    </w:p>
    <w:p w14:paraId="20C3450E" w14:textId="77777777" w:rsidR="008D298E" w:rsidRPr="001E5C7B" w:rsidRDefault="008D298E" w:rsidP="008D298E">
      <w:pPr>
        <w:pStyle w:val="ListParagraph"/>
        <w:rPr>
          <w:rFonts w:ascii="Book Antiqua" w:hAnsi="Book Antiqua" w:cs="CIDFont+F3"/>
          <w:sz w:val="24"/>
          <w:szCs w:val="24"/>
        </w:rPr>
      </w:pPr>
    </w:p>
    <w:p w14:paraId="7E3CF23D" w14:textId="77777777" w:rsidR="008D298E" w:rsidRPr="001E5C7B" w:rsidRDefault="008D298E" w:rsidP="008D298E">
      <w:pPr>
        <w:pStyle w:val="ListParagraph"/>
        <w:numPr>
          <w:ilvl w:val="0"/>
          <w:numId w:val="16"/>
        </w:numPr>
        <w:jc w:val="both"/>
        <w:rPr>
          <w:rFonts w:ascii="Book Antiqua" w:hAnsi="Book Antiqua" w:cs="CIDFont+F3"/>
          <w:sz w:val="24"/>
          <w:szCs w:val="24"/>
        </w:rPr>
      </w:pPr>
      <w:r w:rsidRPr="001E5C7B">
        <w:rPr>
          <w:rFonts w:ascii="Book Antiqua" w:hAnsi="Book Antiqua" w:cs="CIDFont+F3"/>
          <w:sz w:val="24"/>
          <w:szCs w:val="24"/>
        </w:rPr>
        <w:t xml:space="preserve">The Norm of 5.4 % of the GFA was presumably fixed on the basis of the expenditure carried out in the past. In our humble submission, the expenditure on R&amp;M as mentioned earlier was minimal and hence the norm of 5.4 % of the GFA is clearly not adequate for carrying out satisfactory R&amp;M expenditure. The amount spent over in the past by erstwhile Southco Utility and by TPSODL is as </w:t>
      </w:r>
      <w:proofErr w:type="gramStart"/>
      <w:r w:rsidRPr="001E5C7B">
        <w:rPr>
          <w:rFonts w:ascii="Book Antiqua" w:hAnsi="Book Antiqua" w:cs="CIDFont+F3"/>
          <w:sz w:val="24"/>
          <w:szCs w:val="24"/>
        </w:rPr>
        <w:t>follows :</w:t>
      </w:r>
      <w:proofErr w:type="gramEnd"/>
    </w:p>
    <w:p w14:paraId="03260B4B" w14:textId="77777777" w:rsidR="008D298E" w:rsidRPr="001E5C7B" w:rsidRDefault="008D298E" w:rsidP="008D298E">
      <w:pPr>
        <w:keepNext/>
        <w:spacing w:line="276" w:lineRule="auto"/>
        <w:jc w:val="center"/>
        <w:rPr>
          <w:rFonts w:ascii="Book Antiqua" w:hAnsi="Book Antiqua"/>
          <w:sz w:val="24"/>
          <w:szCs w:val="24"/>
        </w:rPr>
      </w:pPr>
      <w:bookmarkStart w:id="1" w:name="_Toc124166691"/>
      <w:r>
        <w:rPr>
          <w:rFonts w:ascii="Book Antiqua" w:hAnsi="Book Antiqua"/>
          <w:b/>
          <w:color w:val="000000" w:themeColor="text1"/>
          <w:sz w:val="24"/>
          <w:szCs w:val="24"/>
        </w:rPr>
        <w:t xml:space="preserve">Table: </w:t>
      </w:r>
      <w:r w:rsidRPr="001E5C7B">
        <w:rPr>
          <w:rFonts w:ascii="Book Antiqua" w:hAnsi="Book Antiqua"/>
          <w:b/>
          <w:color w:val="000000" w:themeColor="text1"/>
          <w:sz w:val="24"/>
          <w:szCs w:val="24"/>
        </w:rPr>
        <w:t xml:space="preserve">R&amp;M Expenditure trend over past period </w:t>
      </w:r>
      <w:proofErr w:type="gramStart"/>
      <w:r w:rsidRPr="001E5C7B">
        <w:rPr>
          <w:rFonts w:ascii="Book Antiqua" w:hAnsi="Book Antiqua"/>
          <w:b/>
          <w:color w:val="000000" w:themeColor="text1"/>
          <w:sz w:val="24"/>
          <w:szCs w:val="24"/>
        </w:rPr>
        <w:t>( Rs</w:t>
      </w:r>
      <w:proofErr w:type="gramEnd"/>
      <w:r w:rsidRPr="001E5C7B">
        <w:rPr>
          <w:rFonts w:ascii="Book Antiqua" w:hAnsi="Book Antiqua"/>
          <w:b/>
          <w:color w:val="000000" w:themeColor="text1"/>
          <w:sz w:val="24"/>
          <w:szCs w:val="24"/>
        </w:rPr>
        <w:t xml:space="preserve"> Cr)</w:t>
      </w:r>
      <w:bookmarkEnd w:id="1"/>
    </w:p>
    <w:p w14:paraId="658BFCE8" w14:textId="77777777" w:rsidR="008D298E" w:rsidRPr="00E2607E" w:rsidRDefault="008D298E" w:rsidP="008D298E">
      <w:pPr>
        <w:tabs>
          <w:tab w:val="left" w:pos="2928"/>
        </w:tabs>
        <w:spacing w:line="276" w:lineRule="auto"/>
        <w:jc w:val="center"/>
        <w:rPr>
          <w:rFonts w:ascii="Book Antiqua" w:hAnsi="Book Antiqua" w:cstheme="minorHAnsi"/>
          <w:highlight w:val="yellow"/>
        </w:rPr>
      </w:pPr>
      <w:r>
        <w:rPr>
          <w:rFonts w:ascii="Book Antiqua" w:hAnsi="Book Antiqua" w:cstheme="minorHAnsi"/>
          <w:noProof/>
          <w:highlight w:val="yellow"/>
        </w:rPr>
        <w:drawing>
          <wp:inline distT="0" distB="0" distL="0" distR="0" wp14:anchorId="5B247A90" wp14:editId="217ECE04">
            <wp:extent cx="2207260" cy="495617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7260" cy="4956175"/>
                    </a:xfrm>
                    <a:prstGeom prst="rect">
                      <a:avLst/>
                    </a:prstGeom>
                    <a:noFill/>
                    <a:ln>
                      <a:noFill/>
                    </a:ln>
                  </pic:spPr>
                </pic:pic>
              </a:graphicData>
            </a:graphic>
          </wp:inline>
        </w:drawing>
      </w:r>
    </w:p>
    <w:p w14:paraId="4672471F" w14:textId="77777777" w:rsidR="008D298E" w:rsidRPr="00E2607E" w:rsidRDefault="008D298E" w:rsidP="008D298E">
      <w:pPr>
        <w:tabs>
          <w:tab w:val="left" w:pos="2928"/>
        </w:tabs>
        <w:spacing w:line="276" w:lineRule="auto"/>
        <w:jc w:val="center"/>
        <w:rPr>
          <w:rFonts w:ascii="Book Antiqua" w:hAnsi="Book Antiqua" w:cstheme="minorHAnsi"/>
          <w:highlight w:val="yellow"/>
        </w:rPr>
      </w:pPr>
    </w:p>
    <w:p w14:paraId="291F3DE4" w14:textId="77777777" w:rsidR="008D298E" w:rsidRPr="001E5C7B" w:rsidRDefault="008D298E" w:rsidP="008D298E">
      <w:pPr>
        <w:pStyle w:val="ListParagraph"/>
        <w:numPr>
          <w:ilvl w:val="0"/>
          <w:numId w:val="16"/>
        </w:numPr>
        <w:jc w:val="both"/>
        <w:rPr>
          <w:rFonts w:ascii="Book Antiqua" w:hAnsi="Book Antiqua" w:cs="CIDFont+F3"/>
          <w:sz w:val="24"/>
          <w:szCs w:val="24"/>
        </w:rPr>
      </w:pPr>
      <w:r w:rsidRPr="001E5C7B">
        <w:rPr>
          <w:rFonts w:ascii="Book Antiqua" w:hAnsi="Book Antiqua" w:cs="CIDFont+F3"/>
          <w:sz w:val="24"/>
          <w:szCs w:val="24"/>
        </w:rPr>
        <w:t xml:space="preserve">The Hon’ble Commission had approved an expenditure of Rs 30 Crores on Government Funded assets. It is submitted that asset base of Government Assets is about Rs </w:t>
      </w:r>
      <w:r w:rsidRPr="008C5D17">
        <w:rPr>
          <w:rFonts w:ascii="Book Antiqua" w:hAnsi="Book Antiqua"/>
          <w:sz w:val="24"/>
          <w:szCs w:val="24"/>
        </w:rPr>
        <w:t>2406</w:t>
      </w:r>
      <w:r w:rsidRPr="001E5C7B">
        <w:rPr>
          <w:rFonts w:ascii="Book Antiqua" w:hAnsi="Book Antiqua" w:cs="CIDFont+F3"/>
          <w:sz w:val="24"/>
          <w:szCs w:val="24"/>
        </w:rPr>
        <w:t xml:space="preserve"> Crores. This is clearly about 2 times the asset base of TPSODL as on 1</w:t>
      </w:r>
      <w:r w:rsidRPr="001E5C7B">
        <w:rPr>
          <w:rFonts w:ascii="Book Antiqua" w:hAnsi="Book Antiqua" w:cs="CIDFont+F3"/>
          <w:sz w:val="24"/>
          <w:szCs w:val="24"/>
          <w:vertAlign w:val="superscript"/>
        </w:rPr>
        <w:t>st</w:t>
      </w:r>
      <w:r w:rsidRPr="001E5C7B">
        <w:rPr>
          <w:rFonts w:ascii="Book Antiqua" w:hAnsi="Book Antiqua" w:cs="CIDFont+F3"/>
          <w:sz w:val="24"/>
          <w:szCs w:val="24"/>
        </w:rPr>
        <w:t xml:space="preserve"> April 2022. Hence the amount of Rs 30 Crores is not adequate to maintain such large asset base. The </w:t>
      </w:r>
      <w:proofErr w:type="spellStart"/>
      <w:r w:rsidRPr="001E5C7B">
        <w:rPr>
          <w:rFonts w:ascii="Book Antiqua" w:hAnsi="Book Antiqua" w:cs="CIDFont+F3"/>
          <w:sz w:val="24"/>
          <w:szCs w:val="24"/>
        </w:rPr>
        <w:t>break up</w:t>
      </w:r>
      <w:proofErr w:type="spellEnd"/>
      <w:r w:rsidRPr="001E5C7B">
        <w:rPr>
          <w:rFonts w:ascii="Book Antiqua" w:hAnsi="Book Antiqua" w:cs="CIDFont+F3"/>
          <w:sz w:val="24"/>
          <w:szCs w:val="24"/>
        </w:rPr>
        <w:t xml:space="preserve"> of the Government Assets being maintained by TPSODL is as follows</w:t>
      </w:r>
    </w:p>
    <w:p w14:paraId="2E960E33" w14:textId="77777777" w:rsidR="008D298E" w:rsidRPr="001E5C7B" w:rsidRDefault="008D298E" w:rsidP="008D298E">
      <w:pPr>
        <w:pStyle w:val="ListParagraph"/>
        <w:jc w:val="both"/>
        <w:rPr>
          <w:rFonts w:ascii="Book Antiqua" w:hAnsi="Book Antiqua" w:cs="CIDFont+F3"/>
          <w:sz w:val="24"/>
          <w:szCs w:val="24"/>
        </w:rPr>
      </w:pPr>
    </w:p>
    <w:p w14:paraId="4DAB811C" w14:textId="77777777" w:rsidR="008D298E" w:rsidRPr="001E5C7B" w:rsidRDefault="008D298E" w:rsidP="008D298E">
      <w:pPr>
        <w:jc w:val="center"/>
        <w:rPr>
          <w:rFonts w:ascii="Book Antiqua" w:hAnsi="Book Antiqua" w:cs="CIDFont+F3"/>
          <w:sz w:val="24"/>
          <w:szCs w:val="24"/>
        </w:rPr>
      </w:pPr>
      <w:bookmarkStart w:id="2" w:name="_Toc124166692"/>
      <w:proofErr w:type="gramStart"/>
      <w:r w:rsidRPr="001E5C7B">
        <w:rPr>
          <w:rFonts w:ascii="Book Antiqua" w:hAnsi="Book Antiqua"/>
          <w:b/>
          <w:color w:val="000000" w:themeColor="text1"/>
          <w:sz w:val="24"/>
          <w:szCs w:val="24"/>
        </w:rPr>
        <w:t xml:space="preserve">Table </w:t>
      </w:r>
      <w:r>
        <w:rPr>
          <w:rFonts w:ascii="Book Antiqua" w:hAnsi="Book Antiqua"/>
          <w:b/>
          <w:color w:val="000000" w:themeColor="text1"/>
          <w:sz w:val="24"/>
          <w:szCs w:val="24"/>
        </w:rPr>
        <w:t>:</w:t>
      </w:r>
      <w:proofErr w:type="gramEnd"/>
      <w:r w:rsidRPr="001E5C7B">
        <w:rPr>
          <w:rFonts w:ascii="Book Antiqua" w:hAnsi="Book Antiqua"/>
          <w:b/>
          <w:color w:val="000000" w:themeColor="text1"/>
          <w:sz w:val="24"/>
          <w:szCs w:val="24"/>
        </w:rPr>
        <w:t xml:space="preserve"> Government Asset Base maintained by TPSODL  ( Rs Cr)</w:t>
      </w:r>
      <w:bookmarkEnd w:id="2"/>
    </w:p>
    <w:p w14:paraId="4784ED0F" w14:textId="77777777" w:rsidR="008D298E" w:rsidRPr="00E2607E" w:rsidRDefault="008D298E" w:rsidP="008D298E">
      <w:pPr>
        <w:jc w:val="center"/>
        <w:rPr>
          <w:rFonts w:ascii="Book Antiqua" w:hAnsi="Book Antiqua"/>
          <w:sz w:val="24"/>
          <w:szCs w:val="24"/>
          <w:highlight w:val="yellow"/>
        </w:rPr>
      </w:pPr>
      <w:r>
        <w:rPr>
          <w:rFonts w:ascii="Book Antiqua" w:hAnsi="Book Antiqua"/>
          <w:noProof/>
          <w:sz w:val="24"/>
          <w:szCs w:val="24"/>
          <w:highlight w:val="yellow"/>
        </w:rPr>
        <w:drawing>
          <wp:inline distT="0" distB="0" distL="0" distR="0" wp14:anchorId="18B231EB" wp14:editId="0731BC45">
            <wp:extent cx="4280535" cy="264985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0535" cy="2649855"/>
                    </a:xfrm>
                    <a:prstGeom prst="rect">
                      <a:avLst/>
                    </a:prstGeom>
                    <a:noFill/>
                    <a:ln>
                      <a:noFill/>
                    </a:ln>
                  </pic:spPr>
                </pic:pic>
              </a:graphicData>
            </a:graphic>
          </wp:inline>
        </w:drawing>
      </w:r>
    </w:p>
    <w:p w14:paraId="518722C7" w14:textId="77777777" w:rsidR="008D298E" w:rsidRPr="005F4159" w:rsidRDefault="008D298E" w:rsidP="008D298E">
      <w:pPr>
        <w:pStyle w:val="ListParagraph"/>
        <w:jc w:val="both"/>
        <w:rPr>
          <w:rFonts w:ascii="Book Antiqua" w:hAnsi="Book Antiqua" w:cs="CIDFont+F3"/>
          <w:sz w:val="24"/>
          <w:szCs w:val="24"/>
        </w:rPr>
      </w:pPr>
    </w:p>
    <w:p w14:paraId="484E0D53" w14:textId="77777777" w:rsidR="008D298E" w:rsidRPr="00DB5BAE" w:rsidRDefault="008D298E" w:rsidP="00DB5BAE">
      <w:pPr>
        <w:pStyle w:val="Heading3"/>
        <w:numPr>
          <w:ilvl w:val="2"/>
          <w:numId w:val="18"/>
        </w:numPr>
      </w:pPr>
      <w:r w:rsidRPr="00DB5BAE">
        <w:t>Keeping in mind the need to have adequate reliability and good maintenance, we request the Hon’ble Commission to kindly approve the projected R&amp;M Expenditure for FY 2023-24</w:t>
      </w:r>
    </w:p>
    <w:p w14:paraId="75620B9B" w14:textId="312A98DD" w:rsidR="008D298E" w:rsidRDefault="008D298E" w:rsidP="008D298E">
      <w:pPr>
        <w:jc w:val="both"/>
        <w:rPr>
          <w:rFonts w:ascii="Book Antiqua" w:hAnsi="Book Antiqua"/>
          <w:bCs/>
          <w:sz w:val="24"/>
          <w:szCs w:val="24"/>
          <w:lang w:val="en-US"/>
        </w:rPr>
      </w:pPr>
    </w:p>
    <w:p w14:paraId="4A3717C6" w14:textId="04CFE5D1" w:rsidR="004E0342" w:rsidRPr="004E0342" w:rsidRDefault="004E0342" w:rsidP="008D298E">
      <w:pPr>
        <w:jc w:val="both"/>
        <w:rPr>
          <w:rFonts w:ascii="Book Antiqua" w:hAnsi="Book Antiqua"/>
          <w:b/>
          <w:bCs/>
          <w:sz w:val="24"/>
          <w:szCs w:val="24"/>
          <w:u w:val="single"/>
          <w:lang w:val="en-US"/>
        </w:rPr>
      </w:pPr>
      <w:r w:rsidRPr="004E0342">
        <w:rPr>
          <w:rFonts w:ascii="Book Antiqua" w:hAnsi="Book Antiqua"/>
          <w:b/>
          <w:bCs/>
          <w:sz w:val="24"/>
          <w:szCs w:val="24"/>
          <w:u w:val="single"/>
          <w:lang w:val="en-US"/>
        </w:rPr>
        <w:t>A&amp;G Expenditure</w:t>
      </w:r>
    </w:p>
    <w:p w14:paraId="0BBCDC56" w14:textId="77777777" w:rsidR="008D298E" w:rsidRDefault="008D298E" w:rsidP="008D298E">
      <w:pPr>
        <w:jc w:val="both"/>
        <w:rPr>
          <w:rFonts w:ascii="Book Antiqua" w:hAnsi="Book Antiqua"/>
          <w:bCs/>
          <w:sz w:val="24"/>
          <w:szCs w:val="24"/>
          <w:lang w:val="en-US"/>
        </w:rPr>
      </w:pPr>
    </w:p>
    <w:p w14:paraId="675D7F0B" w14:textId="77777777" w:rsidR="008D298E" w:rsidRPr="006A309C" w:rsidRDefault="008D298E" w:rsidP="004E0342">
      <w:pPr>
        <w:pStyle w:val="Heading3"/>
        <w:numPr>
          <w:ilvl w:val="2"/>
          <w:numId w:val="22"/>
        </w:numPr>
      </w:pPr>
      <w:bookmarkStart w:id="3" w:name="_Ref118297031"/>
      <w:r w:rsidRPr="006A309C">
        <w:t>Administrative and General Expenditure (A&amp;G) is an essential part of the operations of a Distribution Company like TPSODL. While it may be called as “A&amp;G”, the broad categories under this head will indicate that the expenditure is imperative for efficient running of the operation particularly for the initial few years. This head includes</w:t>
      </w:r>
      <w:bookmarkEnd w:id="3"/>
      <w:r w:rsidRPr="006A309C">
        <w:t xml:space="preserve"> </w:t>
      </w:r>
    </w:p>
    <w:p w14:paraId="08DFC4DB" w14:textId="77777777" w:rsidR="008D298E" w:rsidRPr="006A309C" w:rsidRDefault="008D298E" w:rsidP="008D298E">
      <w:pPr>
        <w:pStyle w:val="ListParagraph"/>
        <w:spacing w:line="276" w:lineRule="auto"/>
        <w:jc w:val="both"/>
        <w:rPr>
          <w:rFonts w:ascii="Book Antiqua" w:hAnsi="Book Antiqua" w:cs="CIDFont+F3"/>
          <w:sz w:val="24"/>
          <w:szCs w:val="24"/>
        </w:rPr>
      </w:pPr>
    </w:p>
    <w:p w14:paraId="0B8FC2B4" w14:textId="77777777" w:rsidR="008D298E" w:rsidRPr="006A309C" w:rsidRDefault="008D298E" w:rsidP="008D298E">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a) Customer related expenditure such as Meter </w:t>
      </w:r>
      <w:proofErr w:type="gramStart"/>
      <w:r w:rsidRPr="006A309C">
        <w:rPr>
          <w:rFonts w:ascii="Book Antiqua" w:hAnsi="Book Antiqua" w:cs="CIDFont+F3"/>
          <w:sz w:val="24"/>
          <w:szCs w:val="24"/>
        </w:rPr>
        <w:t>Reading,  Billing</w:t>
      </w:r>
      <w:proofErr w:type="gramEnd"/>
      <w:r w:rsidRPr="006A309C">
        <w:rPr>
          <w:rFonts w:ascii="Book Antiqua" w:hAnsi="Book Antiqua" w:cs="CIDFont+F3"/>
          <w:sz w:val="24"/>
          <w:szCs w:val="24"/>
        </w:rPr>
        <w:t xml:space="preserve"> and Collection Expenditure, and for Meter Testing  </w:t>
      </w:r>
    </w:p>
    <w:p w14:paraId="252D2F43" w14:textId="77777777" w:rsidR="008D298E" w:rsidRPr="006A309C" w:rsidRDefault="008D298E" w:rsidP="008D298E">
      <w:pPr>
        <w:pStyle w:val="ListParagraph"/>
        <w:spacing w:line="276" w:lineRule="auto"/>
        <w:jc w:val="both"/>
        <w:rPr>
          <w:rFonts w:ascii="Book Antiqua" w:hAnsi="Book Antiqua" w:cs="CIDFont+F3"/>
          <w:sz w:val="24"/>
          <w:szCs w:val="24"/>
        </w:rPr>
      </w:pPr>
    </w:p>
    <w:p w14:paraId="517AD5D6" w14:textId="77777777" w:rsidR="008D298E" w:rsidRPr="006A309C" w:rsidRDefault="008D298E" w:rsidP="008D298E">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b) Statutory and Mandatory Finance Expenditure such as Auditors Remuneration, Bank Charges, Consultant </w:t>
      </w:r>
      <w:proofErr w:type="gramStart"/>
      <w:r w:rsidRPr="006A309C">
        <w:rPr>
          <w:rFonts w:ascii="Book Antiqua" w:hAnsi="Book Antiqua" w:cs="CIDFont+F3"/>
          <w:sz w:val="24"/>
          <w:szCs w:val="24"/>
        </w:rPr>
        <w:t>Fees ,</w:t>
      </w:r>
      <w:proofErr w:type="gramEnd"/>
      <w:r w:rsidRPr="006A309C">
        <w:rPr>
          <w:rFonts w:ascii="Book Antiqua" w:hAnsi="Book Antiqua" w:cs="CIDFont+F3"/>
          <w:sz w:val="24"/>
          <w:szCs w:val="24"/>
        </w:rPr>
        <w:t xml:space="preserve"> Insurance , License Fees and Legal and Professional Charges </w:t>
      </w:r>
    </w:p>
    <w:p w14:paraId="706A4AEE" w14:textId="77777777" w:rsidR="008D298E" w:rsidRPr="006A309C" w:rsidRDefault="008D298E" w:rsidP="008D298E">
      <w:pPr>
        <w:pStyle w:val="ListParagraph"/>
        <w:spacing w:line="276" w:lineRule="auto"/>
        <w:jc w:val="both"/>
        <w:rPr>
          <w:rFonts w:ascii="Book Antiqua" w:hAnsi="Book Antiqua" w:cs="CIDFont+F3"/>
          <w:sz w:val="24"/>
          <w:szCs w:val="24"/>
        </w:rPr>
      </w:pPr>
    </w:p>
    <w:p w14:paraId="38C984A6" w14:textId="77777777" w:rsidR="008D298E" w:rsidRPr="006A309C" w:rsidRDefault="008D298E" w:rsidP="008D298E">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c) IT Related expenses for maintaining proper communication links, maintaining licenses, data base and data centre and providing a firewall for protection of data </w:t>
      </w:r>
    </w:p>
    <w:p w14:paraId="25F29545" w14:textId="77777777" w:rsidR="008D298E" w:rsidRPr="006A309C" w:rsidRDefault="008D298E" w:rsidP="008D298E">
      <w:pPr>
        <w:pStyle w:val="ListParagraph"/>
        <w:spacing w:line="276" w:lineRule="auto"/>
        <w:jc w:val="both"/>
        <w:rPr>
          <w:rFonts w:ascii="Book Antiqua" w:hAnsi="Book Antiqua" w:cs="CIDFont+F3"/>
          <w:sz w:val="24"/>
          <w:szCs w:val="24"/>
        </w:rPr>
      </w:pPr>
    </w:p>
    <w:p w14:paraId="66553E0C" w14:textId="77777777" w:rsidR="008D298E" w:rsidRPr="006A309C" w:rsidRDefault="008D298E" w:rsidP="008D298E">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d) Administrative Expenses towards rents of offices, electricity consumption, maintaining of Guest House, Travelling, Facility Management and House Keeping and Office Expenses and finally </w:t>
      </w:r>
    </w:p>
    <w:p w14:paraId="6F3A4539" w14:textId="77777777" w:rsidR="008D298E" w:rsidRPr="006A309C" w:rsidRDefault="008D298E" w:rsidP="008D298E">
      <w:pPr>
        <w:pStyle w:val="ListParagraph"/>
        <w:spacing w:line="276" w:lineRule="auto"/>
        <w:jc w:val="both"/>
        <w:rPr>
          <w:rFonts w:ascii="Book Antiqua" w:hAnsi="Book Antiqua" w:cs="CIDFont+F3"/>
          <w:sz w:val="24"/>
          <w:szCs w:val="24"/>
        </w:rPr>
      </w:pPr>
    </w:p>
    <w:p w14:paraId="297E8702" w14:textId="77777777" w:rsidR="008D298E" w:rsidRPr="006A309C" w:rsidRDefault="008D298E" w:rsidP="008D298E">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e) Other expenses for advertisement for inviting tenders, objections and suggestions in ARR, and Food and conveyance</w:t>
      </w:r>
    </w:p>
    <w:p w14:paraId="760E0F65" w14:textId="77777777" w:rsidR="008D298E" w:rsidRPr="006A309C" w:rsidRDefault="008D298E" w:rsidP="008D298E">
      <w:pPr>
        <w:pStyle w:val="ListParagraph"/>
        <w:spacing w:line="276" w:lineRule="auto"/>
        <w:jc w:val="both"/>
        <w:rPr>
          <w:rFonts w:ascii="Book Antiqua" w:hAnsi="Book Antiqua" w:cs="CIDFont+F3"/>
          <w:sz w:val="24"/>
          <w:szCs w:val="24"/>
        </w:rPr>
      </w:pPr>
    </w:p>
    <w:p w14:paraId="14719453" w14:textId="77777777" w:rsidR="008D298E" w:rsidRPr="006A309C" w:rsidRDefault="008D298E" w:rsidP="004E0342">
      <w:pPr>
        <w:pStyle w:val="Heading3"/>
        <w:numPr>
          <w:ilvl w:val="2"/>
          <w:numId w:val="22"/>
        </w:numPr>
      </w:pPr>
      <w:r w:rsidRPr="006A309C">
        <w:t>The present regulations categorises the expenditure under two heads viz a) normal A &amp;</w:t>
      </w:r>
      <w:proofErr w:type="gramStart"/>
      <w:r w:rsidRPr="006A309C">
        <w:t>G  and</w:t>
      </w:r>
      <w:proofErr w:type="gramEnd"/>
      <w:r w:rsidRPr="006A309C">
        <w:t xml:space="preserve"> b) Special A&amp;G expenditure In our view, the normal A&amp;G include those under c) , d) and e) above . Such expenditure may need to be optimised and controlled. Hence the quantum approved for FY 2023-24 may be escalated by 7%. </w:t>
      </w:r>
    </w:p>
    <w:p w14:paraId="6453E6BA" w14:textId="77777777" w:rsidR="008D298E" w:rsidRPr="006A309C" w:rsidRDefault="008D298E" w:rsidP="008D298E">
      <w:pPr>
        <w:pStyle w:val="ListParagraph"/>
        <w:spacing w:line="276" w:lineRule="auto"/>
        <w:jc w:val="both"/>
        <w:rPr>
          <w:rFonts w:ascii="Book Antiqua" w:hAnsi="Book Antiqua" w:cs="CIDFont+F3"/>
          <w:sz w:val="24"/>
          <w:szCs w:val="24"/>
        </w:rPr>
      </w:pPr>
    </w:p>
    <w:p w14:paraId="01C75EB7" w14:textId="77777777" w:rsidR="008D298E" w:rsidRPr="006A309C" w:rsidRDefault="008D298E" w:rsidP="004E0342">
      <w:pPr>
        <w:pStyle w:val="Heading3"/>
        <w:numPr>
          <w:ilvl w:val="2"/>
          <w:numId w:val="22"/>
        </w:numPr>
      </w:pPr>
      <w:r w:rsidRPr="006A309C">
        <w:t xml:space="preserve">This head also includes Statutory and Mandatory A&amp;G As regards the Statutory A&amp;G expenses given above, such expenditure is compulsory and governed by various statutes and is not controllable as such. Hence the same should be allowed at actuals. </w:t>
      </w:r>
    </w:p>
    <w:p w14:paraId="58895098" w14:textId="77777777" w:rsidR="008D298E" w:rsidRPr="00E67DA4" w:rsidRDefault="008D298E" w:rsidP="008D298E">
      <w:pPr>
        <w:pStyle w:val="ListParagraph"/>
        <w:rPr>
          <w:rFonts w:ascii="Book Antiqua" w:hAnsi="Book Antiqua" w:cs="CIDFont+F3"/>
          <w:sz w:val="24"/>
          <w:szCs w:val="24"/>
        </w:rPr>
      </w:pPr>
    </w:p>
    <w:p w14:paraId="26E5C751" w14:textId="77777777" w:rsidR="008D298E" w:rsidRDefault="008D298E" w:rsidP="004E0342">
      <w:pPr>
        <w:pStyle w:val="Heading3"/>
        <w:numPr>
          <w:ilvl w:val="2"/>
          <w:numId w:val="22"/>
        </w:numPr>
      </w:pPr>
      <w:r w:rsidRPr="006A309C">
        <w:t xml:space="preserve">It is further submitted that the </w:t>
      </w:r>
      <w:r>
        <w:t>above</w:t>
      </w:r>
      <w:r w:rsidRPr="006A309C">
        <w:t xml:space="preserve"> expenditure </w:t>
      </w:r>
      <w:r>
        <w:t xml:space="preserve">and special expenditure </w:t>
      </w:r>
      <w:r w:rsidRPr="006A309C">
        <w:t xml:space="preserve">is required for efficiently running of the operations, increase collection and improve billing processes, improve billing processes, and providing improved customer services. Further </w:t>
      </w:r>
      <w:r>
        <w:t xml:space="preserve">adequate O&amp;M Expenditure </w:t>
      </w:r>
      <w:r w:rsidRPr="006A309C">
        <w:t>ensure</w:t>
      </w:r>
      <w:r>
        <w:t>s</w:t>
      </w:r>
      <w:r w:rsidRPr="006A309C">
        <w:t xml:space="preserve"> that the AT&amp;C losses are below the target committed by TPSODL in the Vesting Order.</w:t>
      </w:r>
      <w:r>
        <w:t xml:space="preserve"> As regards the improvement in AT&amp;C losses for FY 2022-23 and based on the present trend, the same is estimated to be lower than 30</w:t>
      </w:r>
      <w:proofErr w:type="gramStart"/>
      <w:r>
        <w:t>% ,</w:t>
      </w:r>
      <w:proofErr w:type="gramEnd"/>
      <w:r>
        <w:t xml:space="preserve"> much lower than the target of 34.29 % committed by TPSODL in the vesting order.</w:t>
      </w:r>
    </w:p>
    <w:p w14:paraId="581C2EB7" w14:textId="77777777" w:rsidR="008D298E" w:rsidRDefault="008D298E" w:rsidP="008D298E"/>
    <w:p w14:paraId="4C38F67A" w14:textId="77777777" w:rsidR="008D298E" w:rsidRPr="00DA0B05" w:rsidRDefault="008D298E" w:rsidP="004E0342">
      <w:pPr>
        <w:pStyle w:val="Heading3"/>
        <w:numPr>
          <w:ilvl w:val="2"/>
          <w:numId w:val="22"/>
        </w:numPr>
      </w:pPr>
      <w:r>
        <w:t xml:space="preserve">Further the present expenditure </w:t>
      </w:r>
      <w:proofErr w:type="spellStart"/>
      <w:r>
        <w:t>i.e</w:t>
      </w:r>
      <w:proofErr w:type="spellEnd"/>
      <w:r>
        <w:t xml:space="preserve"> in FY 2022-23 should form the basis of the estimation of expenditure for FY 2023-24 as the activities of TPSODL are getting stabilised in this year. In addition to the present level of expenditure, there would further increase in the MBC activity and also substantial increase in the rates for MBC. Hence based on the same, the projected expenditure for FY 2023-24 is as follows:</w:t>
      </w:r>
    </w:p>
    <w:p w14:paraId="4054718C" w14:textId="77777777" w:rsidR="008D298E" w:rsidRDefault="008D298E" w:rsidP="008D298E"/>
    <w:p w14:paraId="0294EFCA" w14:textId="77777777" w:rsidR="008D298E" w:rsidRPr="006101A2" w:rsidRDefault="008D298E" w:rsidP="008D298E">
      <w:pPr>
        <w:keepNext/>
        <w:jc w:val="center"/>
        <w:rPr>
          <w:rFonts w:ascii="Book Antiqua" w:hAnsi="Book Antiqua" w:cs="CIDFont+F3"/>
          <w:sz w:val="24"/>
          <w:szCs w:val="24"/>
        </w:rPr>
      </w:pPr>
      <w:bookmarkStart w:id="4" w:name="_Toc124166696"/>
      <w:proofErr w:type="gramStart"/>
      <w:r w:rsidRPr="006101A2">
        <w:rPr>
          <w:rFonts w:ascii="Book Antiqua" w:hAnsi="Book Antiqua"/>
          <w:b/>
          <w:color w:val="000000" w:themeColor="text1"/>
          <w:sz w:val="24"/>
          <w:szCs w:val="24"/>
        </w:rPr>
        <w:t>Table  :</w:t>
      </w:r>
      <w:proofErr w:type="gramEnd"/>
      <w:r w:rsidRPr="006101A2">
        <w:rPr>
          <w:rFonts w:ascii="Book Antiqua" w:hAnsi="Book Antiqua"/>
          <w:b/>
          <w:color w:val="000000" w:themeColor="text1"/>
          <w:sz w:val="24"/>
          <w:szCs w:val="24"/>
        </w:rPr>
        <w:t xml:space="preserve"> </w:t>
      </w:r>
      <w:r>
        <w:rPr>
          <w:rFonts w:ascii="Book Antiqua" w:hAnsi="Book Antiqua"/>
          <w:b/>
          <w:color w:val="000000" w:themeColor="text1"/>
          <w:sz w:val="24"/>
          <w:szCs w:val="24"/>
        </w:rPr>
        <w:t xml:space="preserve">Estimation of A&amp;G Expenditure for FY 2023-24 </w:t>
      </w:r>
      <w:r w:rsidRPr="006101A2">
        <w:rPr>
          <w:rFonts w:ascii="Book Antiqua" w:hAnsi="Book Antiqua"/>
          <w:b/>
          <w:color w:val="000000" w:themeColor="text1"/>
          <w:sz w:val="24"/>
          <w:szCs w:val="24"/>
        </w:rPr>
        <w:t xml:space="preserve"> ( Rs Cr)</w:t>
      </w:r>
      <w:bookmarkEnd w:id="4"/>
    </w:p>
    <w:p w14:paraId="26BFC963" w14:textId="77777777" w:rsidR="008D298E" w:rsidRDefault="008D298E" w:rsidP="008D298E">
      <w:pPr>
        <w:jc w:val="center"/>
      </w:pPr>
      <w:r w:rsidRPr="008C53C0">
        <w:rPr>
          <w:noProof/>
        </w:rPr>
        <w:drawing>
          <wp:inline distT="0" distB="0" distL="0" distR="0" wp14:anchorId="1A1069E0" wp14:editId="02BA82CE">
            <wp:extent cx="5731510" cy="1463040"/>
            <wp:effectExtent l="0" t="0" r="254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1463040"/>
                    </a:xfrm>
                    <a:prstGeom prst="rect">
                      <a:avLst/>
                    </a:prstGeom>
                  </pic:spPr>
                </pic:pic>
              </a:graphicData>
            </a:graphic>
          </wp:inline>
        </w:drawing>
      </w:r>
    </w:p>
    <w:p w14:paraId="269DACDE" w14:textId="77777777" w:rsidR="008D298E" w:rsidRPr="003049A0" w:rsidRDefault="008D298E" w:rsidP="008D298E"/>
    <w:p w14:paraId="09FD7939" w14:textId="77777777" w:rsidR="008D298E" w:rsidRPr="003049A0" w:rsidRDefault="008D298E" w:rsidP="004E0342">
      <w:pPr>
        <w:pStyle w:val="Heading3"/>
        <w:numPr>
          <w:ilvl w:val="0"/>
          <w:numId w:val="0"/>
        </w:numPr>
        <w:ind w:left="360"/>
      </w:pPr>
      <w:r>
        <w:t xml:space="preserve">We request the Hon’ble Commission to approve the A&amp;G Expenditure for FY 2023-24 at </w:t>
      </w:r>
      <w:r w:rsidRPr="005C76AF">
        <w:t>Rs 137.59 Crores</w:t>
      </w:r>
    </w:p>
    <w:p w14:paraId="5C203880" w14:textId="77777777" w:rsidR="008D298E" w:rsidRPr="003B6A89" w:rsidRDefault="008D298E" w:rsidP="008D298E">
      <w:pPr>
        <w:jc w:val="both"/>
        <w:rPr>
          <w:rFonts w:ascii="Book Antiqua" w:hAnsi="Book Antiqua"/>
          <w:bCs/>
          <w:sz w:val="24"/>
          <w:szCs w:val="24"/>
          <w:lang w:val="en-US"/>
        </w:rPr>
      </w:pPr>
    </w:p>
    <w:p w14:paraId="4DF026AB" w14:textId="0FD6AC0A" w:rsidR="008D298E" w:rsidRDefault="00EB18E9" w:rsidP="00EB18E9">
      <w:pPr>
        <w:pStyle w:val="ListParagraph"/>
        <w:numPr>
          <w:ilvl w:val="0"/>
          <w:numId w:val="10"/>
        </w:numPr>
        <w:jc w:val="both"/>
        <w:rPr>
          <w:rFonts w:ascii="Book Antiqua" w:hAnsi="Book Antiqua"/>
          <w:b/>
          <w:bCs/>
          <w:sz w:val="24"/>
          <w:szCs w:val="24"/>
          <w:lang w:val="en-US"/>
        </w:rPr>
      </w:pPr>
      <w:r>
        <w:rPr>
          <w:rFonts w:ascii="Book Antiqua" w:hAnsi="Book Antiqua"/>
          <w:b/>
          <w:bCs/>
          <w:sz w:val="24"/>
          <w:szCs w:val="24"/>
          <w:lang w:val="en-US"/>
        </w:rPr>
        <w:t>Objection</w:t>
      </w:r>
    </w:p>
    <w:p w14:paraId="3992C37D" w14:textId="44DB1BFD" w:rsidR="00EB18E9" w:rsidRDefault="00EB18E9" w:rsidP="00EB18E9">
      <w:pPr>
        <w:jc w:val="both"/>
        <w:rPr>
          <w:rFonts w:ascii="Book Antiqua" w:hAnsi="Book Antiqua"/>
          <w:b/>
          <w:bCs/>
          <w:sz w:val="24"/>
          <w:szCs w:val="24"/>
          <w:lang w:val="en-US"/>
        </w:rPr>
      </w:pPr>
    </w:p>
    <w:p w14:paraId="24CDA3FC" w14:textId="0696DBDD" w:rsidR="00EB18E9" w:rsidRDefault="00B4314C" w:rsidP="00EB18E9">
      <w:pPr>
        <w:jc w:val="both"/>
        <w:rPr>
          <w:rFonts w:ascii="Book Antiqua" w:hAnsi="Book Antiqua"/>
          <w:bCs/>
          <w:i/>
          <w:sz w:val="24"/>
          <w:szCs w:val="24"/>
          <w:lang w:val="en-US"/>
        </w:rPr>
      </w:pPr>
      <w:r w:rsidRPr="00B4314C">
        <w:rPr>
          <w:rFonts w:ascii="Book Antiqua" w:hAnsi="Book Antiqua"/>
          <w:bCs/>
          <w:i/>
          <w:sz w:val="24"/>
          <w:szCs w:val="24"/>
          <w:lang w:val="en-US"/>
        </w:rPr>
        <w:t xml:space="preserve">CSS income Penalty Revenue should be considered in </w:t>
      </w:r>
      <w:proofErr w:type="spellStart"/>
      <w:r w:rsidRPr="00B4314C">
        <w:rPr>
          <w:rFonts w:ascii="Book Antiqua" w:hAnsi="Book Antiqua"/>
          <w:bCs/>
          <w:i/>
          <w:sz w:val="24"/>
          <w:szCs w:val="24"/>
          <w:lang w:val="en-US"/>
        </w:rPr>
        <w:t>Non Tariff</w:t>
      </w:r>
      <w:proofErr w:type="spellEnd"/>
      <w:r w:rsidRPr="00B4314C">
        <w:rPr>
          <w:rFonts w:ascii="Book Antiqua" w:hAnsi="Book Antiqua"/>
          <w:bCs/>
          <w:i/>
          <w:sz w:val="24"/>
          <w:szCs w:val="24"/>
          <w:lang w:val="en-US"/>
        </w:rPr>
        <w:t xml:space="preserve"> </w:t>
      </w:r>
      <w:proofErr w:type="gramStart"/>
      <w:r w:rsidRPr="00B4314C">
        <w:rPr>
          <w:rFonts w:ascii="Book Antiqua" w:hAnsi="Book Antiqua"/>
          <w:bCs/>
          <w:i/>
          <w:sz w:val="24"/>
          <w:szCs w:val="24"/>
          <w:lang w:val="en-US"/>
        </w:rPr>
        <w:t xml:space="preserve">Income </w:t>
      </w:r>
      <w:r>
        <w:rPr>
          <w:rFonts w:ascii="Book Antiqua" w:hAnsi="Book Antiqua"/>
          <w:bCs/>
          <w:i/>
          <w:sz w:val="24"/>
          <w:szCs w:val="24"/>
          <w:lang w:val="en-US"/>
        </w:rPr>
        <w:t xml:space="preserve"> based</w:t>
      </w:r>
      <w:proofErr w:type="gramEnd"/>
      <w:r>
        <w:rPr>
          <w:rFonts w:ascii="Book Antiqua" w:hAnsi="Book Antiqua"/>
          <w:bCs/>
          <w:i/>
          <w:sz w:val="24"/>
          <w:szCs w:val="24"/>
          <w:lang w:val="en-US"/>
        </w:rPr>
        <w:t xml:space="preserve"> on the income earned in FY 23 and FY 24</w:t>
      </w:r>
    </w:p>
    <w:p w14:paraId="173A5991" w14:textId="348AD79C" w:rsidR="00B4314C" w:rsidRPr="00B4314C" w:rsidRDefault="00B4314C" w:rsidP="00EB18E9">
      <w:pPr>
        <w:jc w:val="both"/>
        <w:rPr>
          <w:rFonts w:ascii="Book Antiqua" w:hAnsi="Book Antiqua"/>
          <w:b/>
          <w:bCs/>
          <w:i/>
          <w:sz w:val="24"/>
          <w:szCs w:val="24"/>
          <w:u w:val="single"/>
          <w:lang w:val="en-US"/>
        </w:rPr>
      </w:pPr>
    </w:p>
    <w:p w14:paraId="4D7E3D89" w14:textId="7331D8A3" w:rsidR="00B4314C" w:rsidRDefault="00B4314C" w:rsidP="00EB18E9">
      <w:pPr>
        <w:jc w:val="both"/>
        <w:rPr>
          <w:rFonts w:ascii="Book Antiqua" w:hAnsi="Book Antiqua"/>
          <w:bCs/>
          <w:sz w:val="24"/>
          <w:szCs w:val="24"/>
          <w:lang w:val="en-US"/>
        </w:rPr>
      </w:pPr>
      <w:r w:rsidRPr="00B4314C">
        <w:rPr>
          <w:rFonts w:ascii="Book Antiqua" w:hAnsi="Book Antiqua"/>
          <w:b/>
          <w:bCs/>
          <w:sz w:val="24"/>
          <w:szCs w:val="24"/>
          <w:u w:val="single"/>
          <w:lang w:val="en-US"/>
        </w:rPr>
        <w:t>Response</w:t>
      </w:r>
    </w:p>
    <w:p w14:paraId="5A50E9B0" w14:textId="6D21FB3F" w:rsidR="00B4314C" w:rsidRDefault="00B4314C" w:rsidP="00EB18E9">
      <w:pPr>
        <w:jc w:val="both"/>
        <w:rPr>
          <w:rFonts w:ascii="Book Antiqua" w:hAnsi="Book Antiqua"/>
          <w:bCs/>
          <w:sz w:val="24"/>
          <w:szCs w:val="24"/>
          <w:lang w:val="en-US"/>
        </w:rPr>
      </w:pPr>
    </w:p>
    <w:p w14:paraId="4BB098D2" w14:textId="49FBC4CF" w:rsidR="00B4314C" w:rsidRDefault="00B4314C" w:rsidP="00EB18E9">
      <w:pPr>
        <w:jc w:val="both"/>
        <w:rPr>
          <w:rFonts w:ascii="Book Antiqua" w:hAnsi="Book Antiqua"/>
          <w:bCs/>
          <w:sz w:val="24"/>
          <w:szCs w:val="24"/>
          <w:lang w:val="en-US"/>
        </w:rPr>
      </w:pPr>
      <w:r>
        <w:rPr>
          <w:rFonts w:ascii="Book Antiqua" w:hAnsi="Book Antiqua"/>
          <w:bCs/>
          <w:sz w:val="24"/>
          <w:szCs w:val="24"/>
          <w:lang w:val="en-US"/>
        </w:rPr>
        <w:t xml:space="preserve">TPSODL did not earn any revenue from CSS in FY 2022-23 and hence has not considered any CSS income under </w:t>
      </w:r>
      <w:proofErr w:type="spellStart"/>
      <w:proofErr w:type="gramStart"/>
      <w:r>
        <w:rPr>
          <w:rFonts w:ascii="Book Antiqua" w:hAnsi="Book Antiqua"/>
          <w:bCs/>
          <w:sz w:val="24"/>
          <w:szCs w:val="24"/>
          <w:lang w:val="en-US"/>
        </w:rPr>
        <w:t>Non Tariff</w:t>
      </w:r>
      <w:proofErr w:type="spellEnd"/>
      <w:proofErr w:type="gramEnd"/>
      <w:r>
        <w:rPr>
          <w:rFonts w:ascii="Book Antiqua" w:hAnsi="Book Antiqua"/>
          <w:bCs/>
          <w:sz w:val="24"/>
          <w:szCs w:val="24"/>
          <w:lang w:val="en-US"/>
        </w:rPr>
        <w:t xml:space="preserve"> Income (NTI) for FY 2023-24. As regards the penalty, in line with the Tariff Regulations 2022, TPSODL has considered the income from DPS netted off by Discount given to the consumers in the </w:t>
      </w:r>
      <w:proofErr w:type="spellStart"/>
      <w:proofErr w:type="gramStart"/>
      <w:r>
        <w:rPr>
          <w:rFonts w:ascii="Book Antiqua" w:hAnsi="Book Antiqua"/>
          <w:bCs/>
          <w:sz w:val="24"/>
          <w:szCs w:val="24"/>
          <w:lang w:val="en-US"/>
        </w:rPr>
        <w:t>Non Tariff</w:t>
      </w:r>
      <w:proofErr w:type="spellEnd"/>
      <w:proofErr w:type="gramEnd"/>
      <w:r>
        <w:rPr>
          <w:rFonts w:ascii="Book Antiqua" w:hAnsi="Book Antiqua"/>
          <w:bCs/>
          <w:sz w:val="24"/>
          <w:szCs w:val="24"/>
          <w:lang w:val="en-US"/>
        </w:rPr>
        <w:t xml:space="preserve"> Income for FY 2023-24</w:t>
      </w:r>
    </w:p>
    <w:p w14:paraId="54AD06CC" w14:textId="5A3C8D6F" w:rsidR="00B4314C" w:rsidRDefault="00B4314C" w:rsidP="00EB18E9">
      <w:pPr>
        <w:jc w:val="both"/>
        <w:rPr>
          <w:rFonts w:ascii="Book Antiqua" w:hAnsi="Book Antiqua"/>
          <w:bCs/>
          <w:sz w:val="24"/>
          <w:szCs w:val="24"/>
          <w:lang w:val="en-US"/>
        </w:rPr>
      </w:pPr>
    </w:p>
    <w:p w14:paraId="15732254" w14:textId="77777777" w:rsidR="00B4314C" w:rsidRDefault="00B4314C" w:rsidP="00B4314C">
      <w:pPr>
        <w:pStyle w:val="ListParagraph"/>
        <w:numPr>
          <w:ilvl w:val="0"/>
          <w:numId w:val="10"/>
        </w:numPr>
        <w:jc w:val="both"/>
        <w:rPr>
          <w:rFonts w:ascii="Book Antiqua" w:hAnsi="Book Antiqua"/>
          <w:b/>
          <w:bCs/>
          <w:sz w:val="24"/>
          <w:szCs w:val="24"/>
          <w:lang w:val="en-US"/>
        </w:rPr>
      </w:pPr>
      <w:r>
        <w:rPr>
          <w:rFonts w:ascii="Book Antiqua" w:hAnsi="Book Antiqua"/>
          <w:b/>
          <w:bCs/>
          <w:sz w:val="24"/>
          <w:szCs w:val="24"/>
          <w:lang w:val="en-US"/>
        </w:rPr>
        <w:t>Objection</w:t>
      </w:r>
    </w:p>
    <w:p w14:paraId="7CF8BC90" w14:textId="77777777" w:rsidR="00B4314C" w:rsidRDefault="00B4314C" w:rsidP="00B4314C">
      <w:pPr>
        <w:jc w:val="both"/>
        <w:rPr>
          <w:rFonts w:ascii="Book Antiqua" w:hAnsi="Book Antiqua"/>
          <w:b/>
          <w:bCs/>
          <w:sz w:val="24"/>
          <w:szCs w:val="24"/>
          <w:lang w:val="en-US"/>
        </w:rPr>
      </w:pPr>
    </w:p>
    <w:p w14:paraId="6D66EE86" w14:textId="71C7ACDA" w:rsidR="00B4314C" w:rsidRDefault="00B4314C" w:rsidP="00B4314C">
      <w:pPr>
        <w:jc w:val="both"/>
        <w:rPr>
          <w:rFonts w:ascii="Book Antiqua" w:hAnsi="Book Antiqua"/>
          <w:bCs/>
          <w:i/>
          <w:sz w:val="24"/>
          <w:szCs w:val="24"/>
          <w:lang w:val="en-US"/>
        </w:rPr>
      </w:pPr>
      <w:r>
        <w:rPr>
          <w:rFonts w:ascii="Book Antiqua" w:hAnsi="Book Antiqua"/>
          <w:bCs/>
          <w:i/>
          <w:sz w:val="24"/>
          <w:szCs w:val="24"/>
          <w:lang w:val="en-US"/>
        </w:rPr>
        <w:t>The claim of TPSODL on Working Capital and Deprecation should be set aside</w:t>
      </w:r>
    </w:p>
    <w:p w14:paraId="20D98198" w14:textId="77777777" w:rsidR="00B4314C" w:rsidRPr="00B4314C" w:rsidRDefault="00B4314C" w:rsidP="00B4314C">
      <w:pPr>
        <w:jc w:val="both"/>
        <w:rPr>
          <w:rFonts w:ascii="Book Antiqua" w:hAnsi="Book Antiqua"/>
          <w:b/>
          <w:bCs/>
          <w:i/>
          <w:sz w:val="24"/>
          <w:szCs w:val="24"/>
          <w:u w:val="single"/>
          <w:lang w:val="en-US"/>
        </w:rPr>
      </w:pPr>
    </w:p>
    <w:p w14:paraId="534D61E2" w14:textId="77777777" w:rsidR="00B4314C" w:rsidRDefault="00B4314C" w:rsidP="00B4314C">
      <w:pPr>
        <w:jc w:val="both"/>
        <w:rPr>
          <w:rFonts w:ascii="Book Antiqua" w:hAnsi="Book Antiqua"/>
          <w:bCs/>
          <w:sz w:val="24"/>
          <w:szCs w:val="24"/>
          <w:lang w:val="en-US"/>
        </w:rPr>
      </w:pPr>
      <w:r w:rsidRPr="00B4314C">
        <w:rPr>
          <w:rFonts w:ascii="Book Antiqua" w:hAnsi="Book Antiqua"/>
          <w:b/>
          <w:bCs/>
          <w:sz w:val="24"/>
          <w:szCs w:val="24"/>
          <w:u w:val="single"/>
          <w:lang w:val="en-US"/>
        </w:rPr>
        <w:t>Response</w:t>
      </w:r>
    </w:p>
    <w:p w14:paraId="5AB107BF" w14:textId="77777777" w:rsidR="00B4314C" w:rsidRDefault="00B4314C" w:rsidP="00B4314C">
      <w:pPr>
        <w:jc w:val="both"/>
        <w:rPr>
          <w:rFonts w:ascii="Book Antiqua" w:hAnsi="Book Antiqua"/>
          <w:bCs/>
          <w:sz w:val="24"/>
          <w:szCs w:val="24"/>
          <w:lang w:val="en-US"/>
        </w:rPr>
      </w:pPr>
    </w:p>
    <w:p w14:paraId="600AB29D" w14:textId="601F379F" w:rsidR="00B4314C" w:rsidRDefault="00B4314C" w:rsidP="00EB18E9">
      <w:pPr>
        <w:jc w:val="both"/>
        <w:rPr>
          <w:rFonts w:ascii="Book Antiqua" w:hAnsi="Book Antiqua"/>
          <w:bCs/>
          <w:sz w:val="24"/>
          <w:szCs w:val="24"/>
          <w:lang w:val="en-US"/>
        </w:rPr>
      </w:pPr>
      <w:r>
        <w:rPr>
          <w:rFonts w:ascii="Book Antiqua" w:hAnsi="Book Antiqua"/>
          <w:bCs/>
          <w:sz w:val="24"/>
          <w:szCs w:val="24"/>
          <w:lang w:val="en-US"/>
        </w:rPr>
        <w:t>TPSODL has claimed Interest on Working Capital on the basis of the norms provided in the Tariff Regulations 2022.</w:t>
      </w:r>
    </w:p>
    <w:p w14:paraId="28A5AB3A" w14:textId="76A6A017" w:rsidR="00B4314C" w:rsidRDefault="00B4314C" w:rsidP="00EB18E9">
      <w:pPr>
        <w:jc w:val="both"/>
        <w:rPr>
          <w:rFonts w:ascii="Book Antiqua" w:hAnsi="Book Antiqua"/>
          <w:bCs/>
          <w:sz w:val="24"/>
          <w:szCs w:val="24"/>
          <w:lang w:val="en-US"/>
        </w:rPr>
      </w:pPr>
    </w:p>
    <w:p w14:paraId="71589241" w14:textId="23C5A5FC" w:rsidR="00B4314C" w:rsidRDefault="00B4314C" w:rsidP="00EB18E9">
      <w:pPr>
        <w:jc w:val="both"/>
        <w:rPr>
          <w:rFonts w:ascii="Book Antiqua" w:hAnsi="Book Antiqua"/>
          <w:bCs/>
          <w:sz w:val="24"/>
          <w:szCs w:val="24"/>
          <w:lang w:val="en-US"/>
        </w:rPr>
      </w:pPr>
      <w:r>
        <w:rPr>
          <w:rFonts w:ascii="Book Antiqua" w:hAnsi="Book Antiqua"/>
          <w:bCs/>
          <w:sz w:val="24"/>
          <w:szCs w:val="24"/>
          <w:lang w:val="en-US"/>
        </w:rPr>
        <w:t xml:space="preserve">Similarly, the Depreciation has been claimed on the </w:t>
      </w:r>
      <w:proofErr w:type="gramStart"/>
      <w:r>
        <w:rPr>
          <w:rFonts w:ascii="Book Antiqua" w:hAnsi="Book Antiqua"/>
          <w:bCs/>
          <w:sz w:val="24"/>
          <w:szCs w:val="24"/>
          <w:lang w:val="en-US"/>
        </w:rPr>
        <w:t>basis  of</w:t>
      </w:r>
      <w:proofErr w:type="gramEnd"/>
      <w:r>
        <w:rPr>
          <w:rFonts w:ascii="Book Antiqua" w:hAnsi="Book Antiqua"/>
          <w:bCs/>
          <w:sz w:val="24"/>
          <w:szCs w:val="24"/>
          <w:lang w:val="en-US"/>
        </w:rPr>
        <w:t xml:space="preserve"> the rates provided in the Tariff Regulations</w:t>
      </w:r>
      <w:r w:rsidR="00C40856">
        <w:rPr>
          <w:rFonts w:ascii="Book Antiqua" w:hAnsi="Book Antiqua"/>
          <w:bCs/>
          <w:sz w:val="24"/>
          <w:szCs w:val="24"/>
          <w:lang w:val="en-US"/>
        </w:rPr>
        <w:t xml:space="preserve"> 2022</w:t>
      </w:r>
      <w:r>
        <w:rPr>
          <w:rFonts w:ascii="Book Antiqua" w:hAnsi="Book Antiqua"/>
          <w:bCs/>
          <w:sz w:val="24"/>
          <w:szCs w:val="24"/>
          <w:lang w:val="en-US"/>
        </w:rPr>
        <w:t xml:space="preserve"> for assets created prior to take over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1</w:t>
      </w:r>
      <w:r w:rsidRPr="00B4314C">
        <w:rPr>
          <w:rFonts w:ascii="Book Antiqua" w:hAnsi="Book Antiqua"/>
          <w:bCs/>
          <w:sz w:val="24"/>
          <w:szCs w:val="24"/>
          <w:vertAlign w:val="superscript"/>
          <w:lang w:val="en-US"/>
        </w:rPr>
        <w:t>st</w:t>
      </w:r>
      <w:r>
        <w:rPr>
          <w:rFonts w:ascii="Book Antiqua" w:hAnsi="Book Antiqua"/>
          <w:bCs/>
          <w:sz w:val="24"/>
          <w:szCs w:val="24"/>
          <w:lang w:val="en-US"/>
        </w:rPr>
        <w:t xml:space="preserve"> January 2021) </w:t>
      </w:r>
      <w:r w:rsidR="00C40856">
        <w:rPr>
          <w:rFonts w:ascii="Book Antiqua" w:hAnsi="Book Antiqua"/>
          <w:bCs/>
          <w:sz w:val="24"/>
          <w:szCs w:val="24"/>
          <w:lang w:val="en-US"/>
        </w:rPr>
        <w:t xml:space="preserve">as well as </w:t>
      </w:r>
      <w:r>
        <w:rPr>
          <w:rFonts w:ascii="Book Antiqua" w:hAnsi="Book Antiqua"/>
          <w:bCs/>
          <w:sz w:val="24"/>
          <w:szCs w:val="24"/>
          <w:lang w:val="en-US"/>
        </w:rPr>
        <w:t>for assets created thereafter. The Hon’ble Commission may decide the utilization of the same in the ARR</w:t>
      </w:r>
      <w:r w:rsidR="00C40856">
        <w:rPr>
          <w:rFonts w:ascii="Book Antiqua" w:hAnsi="Book Antiqua"/>
          <w:bCs/>
          <w:sz w:val="24"/>
          <w:szCs w:val="24"/>
          <w:lang w:val="en-US"/>
        </w:rPr>
        <w:t xml:space="preserve"> in line with that provide in the Tariff Regulations 2022</w:t>
      </w:r>
    </w:p>
    <w:p w14:paraId="02D761FA" w14:textId="1BD65E4F" w:rsidR="00B4314C" w:rsidRDefault="00B4314C" w:rsidP="00EB18E9">
      <w:pPr>
        <w:jc w:val="both"/>
        <w:rPr>
          <w:rFonts w:ascii="Book Antiqua" w:hAnsi="Book Antiqua"/>
          <w:bCs/>
          <w:sz w:val="24"/>
          <w:szCs w:val="24"/>
          <w:lang w:val="en-US"/>
        </w:rPr>
      </w:pPr>
    </w:p>
    <w:p w14:paraId="437F81B9" w14:textId="77777777" w:rsidR="00C40856" w:rsidRDefault="00C40856" w:rsidP="00C40856">
      <w:pPr>
        <w:pStyle w:val="ListParagraph"/>
        <w:numPr>
          <w:ilvl w:val="0"/>
          <w:numId w:val="10"/>
        </w:numPr>
        <w:jc w:val="both"/>
        <w:rPr>
          <w:rFonts w:ascii="Book Antiqua" w:hAnsi="Book Antiqua"/>
          <w:b/>
          <w:bCs/>
          <w:sz w:val="24"/>
          <w:szCs w:val="24"/>
          <w:lang w:val="en-US"/>
        </w:rPr>
      </w:pPr>
      <w:r>
        <w:rPr>
          <w:rFonts w:ascii="Book Antiqua" w:hAnsi="Book Antiqua"/>
          <w:b/>
          <w:bCs/>
          <w:sz w:val="24"/>
          <w:szCs w:val="24"/>
          <w:lang w:val="en-US"/>
        </w:rPr>
        <w:t>Objection</w:t>
      </w:r>
    </w:p>
    <w:p w14:paraId="09ECAFCE" w14:textId="18D6771E" w:rsidR="00B4314C" w:rsidRDefault="00B4314C" w:rsidP="00EB18E9">
      <w:pPr>
        <w:jc w:val="both"/>
        <w:rPr>
          <w:rFonts w:ascii="Book Antiqua" w:hAnsi="Book Antiqua"/>
          <w:bCs/>
          <w:sz w:val="24"/>
          <w:szCs w:val="24"/>
          <w:lang w:val="en-US"/>
        </w:rPr>
      </w:pPr>
    </w:p>
    <w:p w14:paraId="76A4667A" w14:textId="686786FB" w:rsidR="00C40856" w:rsidRPr="00C40856" w:rsidRDefault="00C40856" w:rsidP="00EB18E9">
      <w:pPr>
        <w:jc w:val="both"/>
        <w:rPr>
          <w:rFonts w:ascii="Book Antiqua" w:hAnsi="Book Antiqua"/>
          <w:bCs/>
          <w:i/>
          <w:sz w:val="24"/>
          <w:szCs w:val="24"/>
          <w:lang w:val="en-US"/>
        </w:rPr>
      </w:pPr>
      <w:r w:rsidRPr="00C40856">
        <w:rPr>
          <w:rFonts w:ascii="Book Antiqua" w:hAnsi="Book Antiqua"/>
          <w:bCs/>
          <w:i/>
          <w:sz w:val="24"/>
          <w:szCs w:val="24"/>
          <w:lang w:val="en-US"/>
        </w:rPr>
        <w:t>The Provision for Bad Debts should be provided @ 0.15 % instead of 1%</w:t>
      </w:r>
    </w:p>
    <w:p w14:paraId="66B2398D" w14:textId="5E56C56A" w:rsidR="00C40856" w:rsidRDefault="00C40856" w:rsidP="00EB18E9">
      <w:pPr>
        <w:jc w:val="both"/>
        <w:rPr>
          <w:rFonts w:ascii="Book Antiqua" w:hAnsi="Book Antiqua"/>
          <w:bCs/>
          <w:sz w:val="24"/>
          <w:szCs w:val="24"/>
          <w:lang w:val="en-US"/>
        </w:rPr>
      </w:pPr>
    </w:p>
    <w:p w14:paraId="709075B3" w14:textId="77777777" w:rsidR="00C40856" w:rsidRDefault="00C40856" w:rsidP="00C40856">
      <w:pPr>
        <w:jc w:val="both"/>
        <w:rPr>
          <w:rFonts w:ascii="Book Antiqua" w:hAnsi="Book Antiqua"/>
          <w:bCs/>
          <w:sz w:val="24"/>
          <w:szCs w:val="24"/>
          <w:lang w:val="en-US"/>
        </w:rPr>
      </w:pPr>
      <w:r w:rsidRPr="00B4314C">
        <w:rPr>
          <w:rFonts w:ascii="Book Antiqua" w:hAnsi="Book Antiqua"/>
          <w:b/>
          <w:bCs/>
          <w:sz w:val="24"/>
          <w:szCs w:val="24"/>
          <w:u w:val="single"/>
          <w:lang w:val="en-US"/>
        </w:rPr>
        <w:t>Response</w:t>
      </w:r>
    </w:p>
    <w:p w14:paraId="41E062A0" w14:textId="71003FEC" w:rsidR="00C40856" w:rsidRDefault="00C40856" w:rsidP="00EB18E9">
      <w:pPr>
        <w:jc w:val="both"/>
        <w:rPr>
          <w:rFonts w:ascii="Book Antiqua" w:hAnsi="Book Antiqua"/>
          <w:bCs/>
          <w:sz w:val="24"/>
          <w:szCs w:val="24"/>
          <w:lang w:val="en-US"/>
        </w:rPr>
      </w:pPr>
    </w:p>
    <w:p w14:paraId="31A13027" w14:textId="1CDC23FD" w:rsidR="00C40856" w:rsidRDefault="00C40856" w:rsidP="00EB18E9">
      <w:pPr>
        <w:jc w:val="both"/>
        <w:rPr>
          <w:rFonts w:ascii="Book Antiqua" w:hAnsi="Book Antiqua"/>
          <w:bCs/>
          <w:sz w:val="24"/>
          <w:szCs w:val="24"/>
          <w:lang w:val="en-US"/>
        </w:rPr>
      </w:pPr>
      <w:r>
        <w:rPr>
          <w:rFonts w:ascii="Book Antiqua" w:hAnsi="Book Antiqua"/>
          <w:bCs/>
          <w:sz w:val="24"/>
          <w:szCs w:val="24"/>
          <w:lang w:val="en-US"/>
        </w:rPr>
        <w:t>TPSODL has claimed the provision for Doubtful Debts on the basis of the Tariff Regulations 2022. As per the Tariff Regulations, the following is allowed towards such provision</w:t>
      </w:r>
    </w:p>
    <w:p w14:paraId="445D6731" w14:textId="4E4CAB2D" w:rsidR="00C40856" w:rsidRDefault="00C40856" w:rsidP="00EB18E9">
      <w:pPr>
        <w:jc w:val="both"/>
        <w:rPr>
          <w:rFonts w:ascii="Book Antiqua" w:hAnsi="Book Antiqua"/>
          <w:bCs/>
          <w:sz w:val="24"/>
          <w:szCs w:val="24"/>
          <w:lang w:val="en-US"/>
        </w:rPr>
      </w:pPr>
    </w:p>
    <w:p w14:paraId="6E4FB829" w14:textId="2A56232E" w:rsidR="00C40856" w:rsidRPr="00C40856" w:rsidRDefault="00C40856" w:rsidP="00C40856">
      <w:pPr>
        <w:autoSpaceDE w:val="0"/>
        <w:autoSpaceDN w:val="0"/>
        <w:adjustRightInd w:val="0"/>
        <w:spacing w:after="0" w:line="240" w:lineRule="auto"/>
        <w:rPr>
          <w:rFonts w:ascii="Book Antiqua" w:hAnsi="Book Antiqua"/>
          <w:bCs/>
          <w:i/>
          <w:sz w:val="24"/>
          <w:szCs w:val="24"/>
          <w:lang w:val="en-US"/>
        </w:rPr>
      </w:pPr>
      <w:r w:rsidRPr="00C40856">
        <w:rPr>
          <w:rFonts w:ascii="Book Antiqua" w:hAnsi="Book Antiqua" w:cs="Times New Roman"/>
          <w:i/>
          <w:sz w:val="24"/>
          <w:szCs w:val="24"/>
        </w:rPr>
        <w:t>The Commission shall allow provisioning for bad debts as a pass through in the Aggregate Revenue Requirement, as a prudent commercial practice in the revenue requirement of the licensee. The Bad and Doubtful debt during this control period shall be allowed on normative basis of 1% of the total annual revenue billed for sale of electricity.</w:t>
      </w:r>
    </w:p>
    <w:sectPr w:rsidR="00C40856" w:rsidRPr="00C40856" w:rsidSect="00291823">
      <w:headerReference w:type="even" r:id="rId13"/>
      <w:headerReference w:type="default" r:id="rId14"/>
      <w:footerReference w:type="even" r:id="rId15"/>
      <w:footerReference w:type="default" r:id="rId16"/>
      <w:headerReference w:type="first" r:id="rId17"/>
      <w:footerReference w:type="first" r:id="rId18"/>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4B589" w14:textId="77777777" w:rsidR="007C327E" w:rsidRDefault="007C327E" w:rsidP="008E5B03">
      <w:pPr>
        <w:spacing w:after="0" w:line="240" w:lineRule="auto"/>
      </w:pPr>
      <w:r>
        <w:separator/>
      </w:r>
    </w:p>
  </w:endnote>
  <w:endnote w:type="continuationSeparator" w:id="0">
    <w:p w14:paraId="4BB6BD24" w14:textId="77777777" w:rsidR="007C327E" w:rsidRDefault="007C327E"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4D88A" w14:textId="77777777" w:rsidR="00344766" w:rsidRDefault="00344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579303"/>
      <w:docPartObj>
        <w:docPartGallery w:val="Page Numbers (Bottom of Page)"/>
        <w:docPartUnique/>
      </w:docPartObj>
    </w:sdtPr>
    <w:sdtEndPr>
      <w:rPr>
        <w:noProof/>
      </w:rPr>
    </w:sdtEndPr>
    <w:sdtContent>
      <w:p w14:paraId="643D919D" w14:textId="3998278B" w:rsidR="00344766" w:rsidRDefault="003447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925263" w14:textId="77777777" w:rsidR="00344766" w:rsidRPr="008E5B03" w:rsidRDefault="00344766" w:rsidP="00344766">
    <w:pPr>
      <w:pStyle w:val="Footer"/>
      <w:jc w:val="center"/>
      <w:rPr>
        <w:rFonts w:ascii="Book Antiqua" w:hAnsi="Book Antiqua"/>
        <w:b/>
        <w:szCs w:val="24"/>
      </w:rPr>
    </w:pPr>
    <w:bookmarkStart w:id="5" w:name="_Hlk93663098"/>
    <w:r w:rsidRPr="008E5B03">
      <w:rPr>
        <w:rFonts w:ascii="Book Antiqua" w:hAnsi="Book Antiqua"/>
        <w:b/>
        <w:szCs w:val="24"/>
      </w:rPr>
      <w:t>TP SOUTHERN ODISHA DISTRIBUTION LIMITED</w:t>
    </w:r>
  </w:p>
  <w:p w14:paraId="646F6965" w14:textId="77777777" w:rsidR="00344766" w:rsidRPr="008E5B03" w:rsidRDefault="00344766" w:rsidP="00344766">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212B21D5"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0EBDAF90" w14:textId="77777777" w:rsidR="00344766" w:rsidRDefault="00344766" w:rsidP="00344766">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1E04F038"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5"/>
  <w:p w14:paraId="3E806411" w14:textId="77777777" w:rsidR="00344766" w:rsidRDefault="00344766" w:rsidP="00344766">
    <w:pPr>
      <w:pStyle w:val="Footer"/>
    </w:pPr>
  </w:p>
  <w:p w14:paraId="5300F847" w14:textId="77777777" w:rsidR="008E5B03" w:rsidRPr="00344766" w:rsidRDefault="008E5B03" w:rsidP="00344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61FBD" w14:textId="77777777" w:rsidR="00344766" w:rsidRDefault="00344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5F52D" w14:textId="77777777" w:rsidR="007C327E" w:rsidRDefault="007C327E" w:rsidP="008E5B03">
      <w:pPr>
        <w:spacing w:after="0" w:line="240" w:lineRule="auto"/>
      </w:pPr>
      <w:r>
        <w:separator/>
      </w:r>
    </w:p>
  </w:footnote>
  <w:footnote w:type="continuationSeparator" w:id="0">
    <w:p w14:paraId="33405C0C" w14:textId="77777777" w:rsidR="007C327E" w:rsidRDefault="007C327E"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1AE" w14:textId="77777777" w:rsidR="00344766" w:rsidRDefault="00344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FB053" w14:textId="77777777" w:rsidR="00344766" w:rsidRDefault="003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FD2E0F"/>
    <w:multiLevelType w:val="hybridMultilevel"/>
    <w:tmpl w:val="5672A93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DA05CA3"/>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442401"/>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9853A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306B3853"/>
    <w:multiLevelType w:val="multilevel"/>
    <w:tmpl w:val="9C2CE3B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2130649"/>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734573"/>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13437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4E000CD"/>
    <w:multiLevelType w:val="multilevel"/>
    <w:tmpl w:val="EDB6DFF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Roman"/>
      <w:lvlText w:val="%3."/>
      <w:lvlJc w:val="righ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A34D70"/>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943448A"/>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DD51ACE"/>
    <w:multiLevelType w:val="hybridMultilevel"/>
    <w:tmpl w:val="E8DCF8A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7C90496"/>
    <w:multiLevelType w:val="hybridMultilevel"/>
    <w:tmpl w:val="196487C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EC53E52"/>
    <w:multiLevelType w:val="multilevel"/>
    <w:tmpl w:val="FC6C6C1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7"/>
  </w:num>
  <w:num w:numId="2">
    <w:abstractNumId w:val="5"/>
  </w:num>
  <w:num w:numId="3">
    <w:abstractNumId w:val="8"/>
  </w:num>
  <w:num w:numId="4">
    <w:abstractNumId w:val="3"/>
  </w:num>
  <w:num w:numId="5">
    <w:abstractNumId w:val="21"/>
  </w:num>
  <w:num w:numId="6">
    <w:abstractNumId w:val="0"/>
  </w:num>
  <w:num w:numId="7">
    <w:abstractNumId w:val="20"/>
  </w:num>
  <w:num w:numId="8">
    <w:abstractNumId w:val="16"/>
  </w:num>
  <w:num w:numId="9">
    <w:abstractNumId w:val="10"/>
  </w:num>
  <w:num w:numId="10">
    <w:abstractNumId w:val="15"/>
  </w:num>
  <w:num w:numId="11">
    <w:abstractNumId w:val="4"/>
  </w:num>
  <w:num w:numId="12">
    <w:abstractNumId w:val="13"/>
  </w:num>
  <w:num w:numId="13">
    <w:abstractNumId w:val="6"/>
  </w:num>
  <w:num w:numId="14">
    <w:abstractNumId w:val="17"/>
  </w:num>
  <w:num w:numId="15">
    <w:abstractNumId w:val="11"/>
  </w:num>
  <w:num w:numId="16">
    <w:abstractNumId w:val="1"/>
  </w:num>
  <w:num w:numId="17">
    <w:abstractNumId w:val="9"/>
  </w:num>
  <w:num w:numId="18">
    <w:abstractNumId w:val="22"/>
  </w:num>
  <w:num w:numId="19">
    <w:abstractNumId w:val="19"/>
  </w:num>
  <w:num w:numId="20">
    <w:abstractNumId w:val="18"/>
  </w:num>
  <w:num w:numId="21">
    <w:abstractNumId w:val="9"/>
  </w:num>
  <w:num w:numId="22">
    <w:abstractNumId w:val="14"/>
  </w:num>
  <w:num w:numId="23">
    <w:abstractNumId w:val="9"/>
  </w:num>
  <w:num w:numId="24">
    <w:abstractNumId w:val="9"/>
  </w:num>
  <w:num w:numId="25">
    <w:abstractNumId w:val="9"/>
  </w:num>
  <w:num w:numId="26">
    <w:abstractNumId w:val="9"/>
  </w:num>
  <w:num w:numId="27">
    <w:abstractNumId w:val="12"/>
  </w:num>
  <w:num w:numId="28">
    <w:abstractNumId w:val="2"/>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610FB"/>
    <w:rsid w:val="000666FD"/>
    <w:rsid w:val="00091DF5"/>
    <w:rsid w:val="000B3E70"/>
    <w:rsid w:val="000C3DFD"/>
    <w:rsid w:val="000D41F9"/>
    <w:rsid w:val="001826E4"/>
    <w:rsid w:val="001B24DE"/>
    <w:rsid w:val="001D5F3B"/>
    <w:rsid w:val="001D6E0F"/>
    <w:rsid w:val="001F2645"/>
    <w:rsid w:val="0020505C"/>
    <w:rsid w:val="002250E6"/>
    <w:rsid w:val="0026091C"/>
    <w:rsid w:val="00291823"/>
    <w:rsid w:val="00293423"/>
    <w:rsid w:val="002A7EFF"/>
    <w:rsid w:val="00344766"/>
    <w:rsid w:val="003B6A89"/>
    <w:rsid w:val="003E1B0E"/>
    <w:rsid w:val="0047393C"/>
    <w:rsid w:val="004C408C"/>
    <w:rsid w:val="004E0342"/>
    <w:rsid w:val="004E3374"/>
    <w:rsid w:val="00562F64"/>
    <w:rsid w:val="00580CEC"/>
    <w:rsid w:val="00581F06"/>
    <w:rsid w:val="005A0AB8"/>
    <w:rsid w:val="005C6568"/>
    <w:rsid w:val="005D16A1"/>
    <w:rsid w:val="00642E0A"/>
    <w:rsid w:val="00651F97"/>
    <w:rsid w:val="00655EC4"/>
    <w:rsid w:val="00683E9C"/>
    <w:rsid w:val="007A1ADA"/>
    <w:rsid w:val="007C327E"/>
    <w:rsid w:val="00811758"/>
    <w:rsid w:val="008160A7"/>
    <w:rsid w:val="008331BD"/>
    <w:rsid w:val="00851354"/>
    <w:rsid w:val="00864328"/>
    <w:rsid w:val="00893E34"/>
    <w:rsid w:val="0089415C"/>
    <w:rsid w:val="008D298E"/>
    <w:rsid w:val="008E5B03"/>
    <w:rsid w:val="009153BE"/>
    <w:rsid w:val="0092474C"/>
    <w:rsid w:val="0095432F"/>
    <w:rsid w:val="009A49F1"/>
    <w:rsid w:val="009C71C7"/>
    <w:rsid w:val="009E7CF2"/>
    <w:rsid w:val="00A226C0"/>
    <w:rsid w:val="00A25774"/>
    <w:rsid w:val="00A820DD"/>
    <w:rsid w:val="00B2775A"/>
    <w:rsid w:val="00B4314C"/>
    <w:rsid w:val="00B54021"/>
    <w:rsid w:val="00B57226"/>
    <w:rsid w:val="00BD2341"/>
    <w:rsid w:val="00BF556E"/>
    <w:rsid w:val="00C40856"/>
    <w:rsid w:val="00C913D7"/>
    <w:rsid w:val="00DB5BAE"/>
    <w:rsid w:val="00E43FDE"/>
    <w:rsid w:val="00E57C42"/>
    <w:rsid w:val="00E625E2"/>
    <w:rsid w:val="00E84959"/>
    <w:rsid w:val="00E872F2"/>
    <w:rsid w:val="00EB18E9"/>
    <w:rsid w:val="00EC39CD"/>
    <w:rsid w:val="00EE5A30"/>
    <w:rsid w:val="00F12EFE"/>
    <w:rsid w:val="00F475C1"/>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paragraph" w:styleId="Heading1">
    <w:name w:val="heading 1"/>
    <w:basedOn w:val="Normal"/>
    <w:next w:val="Normal"/>
    <w:link w:val="Heading1Char"/>
    <w:uiPriority w:val="9"/>
    <w:qFormat/>
    <w:rsid w:val="008D298E"/>
    <w:pPr>
      <w:keepNext/>
      <w:keepLines/>
      <w:numPr>
        <w:numId w:val="17"/>
      </w:numPr>
      <w:pBdr>
        <w:top w:val="single" w:sz="4" w:space="1" w:color="auto"/>
        <w:bottom w:val="single" w:sz="4" w:space="1" w:color="auto"/>
      </w:pBdr>
      <w:shd w:val="clear" w:color="auto" w:fill="DEEAF6" w:themeFill="accent5" w:themeFillTint="33"/>
      <w:spacing w:before="240" w:after="0"/>
      <w:outlineLvl w:val="0"/>
    </w:pPr>
    <w:rPr>
      <w:rFonts w:ascii="Book Antiqua" w:eastAsiaTheme="majorEastAsia" w:hAnsi="Book Antiqua" w:cstheme="majorBidi"/>
      <w:b/>
      <w:sz w:val="28"/>
      <w:szCs w:val="32"/>
    </w:rPr>
  </w:style>
  <w:style w:type="paragraph" w:styleId="Heading2">
    <w:name w:val="heading 2"/>
    <w:basedOn w:val="Normal"/>
    <w:next w:val="Normal"/>
    <w:link w:val="Heading2Char"/>
    <w:uiPriority w:val="9"/>
    <w:unhideWhenUsed/>
    <w:qFormat/>
    <w:rsid w:val="008D298E"/>
    <w:pPr>
      <w:keepNext/>
      <w:keepLines/>
      <w:numPr>
        <w:ilvl w:val="1"/>
        <w:numId w:val="17"/>
      </w:numPr>
      <w:spacing w:before="40" w:after="0"/>
      <w:outlineLvl w:val="1"/>
    </w:pPr>
    <w:rPr>
      <w:rFonts w:ascii="Book Antiqua" w:eastAsiaTheme="majorEastAsia" w:hAnsi="Book Antiqua" w:cstheme="majorBidi"/>
      <w:b/>
      <w:sz w:val="24"/>
      <w:szCs w:val="26"/>
    </w:rPr>
  </w:style>
  <w:style w:type="paragraph" w:styleId="Heading3">
    <w:name w:val="heading 3"/>
    <w:basedOn w:val="Normal"/>
    <w:next w:val="Normal"/>
    <w:link w:val="Heading3Char"/>
    <w:uiPriority w:val="9"/>
    <w:unhideWhenUsed/>
    <w:qFormat/>
    <w:rsid w:val="008D298E"/>
    <w:pPr>
      <w:keepNext/>
      <w:keepLines/>
      <w:numPr>
        <w:ilvl w:val="2"/>
        <w:numId w:val="17"/>
      </w:numPr>
      <w:spacing w:before="40" w:after="0"/>
      <w:jc w:val="both"/>
      <w:outlineLvl w:val="2"/>
    </w:pPr>
    <w:rPr>
      <w:rFonts w:ascii="Book Antiqua" w:eastAsiaTheme="majorEastAsia" w:hAnsi="Book Antiqua" w:cstheme="majorBidi"/>
      <w:sz w:val="24"/>
      <w:szCs w:val="24"/>
    </w:rPr>
  </w:style>
  <w:style w:type="paragraph" w:styleId="Heading5">
    <w:name w:val="heading 5"/>
    <w:basedOn w:val="Normal"/>
    <w:next w:val="Normal"/>
    <w:link w:val="Heading5Char"/>
    <w:uiPriority w:val="9"/>
    <w:semiHidden/>
    <w:unhideWhenUsed/>
    <w:qFormat/>
    <w:rsid w:val="008D298E"/>
    <w:pPr>
      <w:keepNext/>
      <w:keepLines/>
      <w:numPr>
        <w:ilvl w:val="4"/>
        <w:numId w:val="1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D298E"/>
    <w:pPr>
      <w:keepNext/>
      <w:keepLines/>
      <w:numPr>
        <w:ilvl w:val="5"/>
        <w:numId w:val="1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D298E"/>
    <w:pPr>
      <w:keepNext/>
      <w:keepLines/>
      <w:numPr>
        <w:ilvl w:val="6"/>
        <w:numId w:val="1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D298E"/>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298E"/>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 w:type="character" w:customStyle="1" w:styleId="Heading1Char">
    <w:name w:val="Heading 1 Char"/>
    <w:basedOn w:val="DefaultParagraphFont"/>
    <w:link w:val="Heading1"/>
    <w:uiPriority w:val="9"/>
    <w:rsid w:val="008D298E"/>
    <w:rPr>
      <w:rFonts w:ascii="Book Antiqua" w:eastAsiaTheme="majorEastAsia" w:hAnsi="Book Antiqua" w:cstheme="majorBidi"/>
      <w:b/>
      <w:sz w:val="28"/>
      <w:szCs w:val="32"/>
      <w:shd w:val="clear" w:color="auto" w:fill="DEEAF6" w:themeFill="accent5" w:themeFillTint="33"/>
    </w:rPr>
  </w:style>
  <w:style w:type="character" w:customStyle="1" w:styleId="Heading2Char">
    <w:name w:val="Heading 2 Char"/>
    <w:basedOn w:val="DefaultParagraphFont"/>
    <w:link w:val="Heading2"/>
    <w:uiPriority w:val="9"/>
    <w:rsid w:val="008D298E"/>
    <w:rPr>
      <w:rFonts w:ascii="Book Antiqua" w:eastAsiaTheme="majorEastAsia" w:hAnsi="Book Antiqua" w:cstheme="majorBidi"/>
      <w:b/>
      <w:sz w:val="24"/>
      <w:szCs w:val="26"/>
    </w:rPr>
  </w:style>
  <w:style w:type="character" w:customStyle="1" w:styleId="Heading3Char">
    <w:name w:val="Heading 3 Char"/>
    <w:basedOn w:val="DefaultParagraphFont"/>
    <w:link w:val="Heading3"/>
    <w:uiPriority w:val="9"/>
    <w:rsid w:val="008D298E"/>
    <w:rPr>
      <w:rFonts w:ascii="Book Antiqua" w:eastAsiaTheme="majorEastAsia" w:hAnsi="Book Antiqua" w:cstheme="majorBidi"/>
      <w:sz w:val="24"/>
      <w:szCs w:val="24"/>
    </w:rPr>
  </w:style>
  <w:style w:type="character" w:customStyle="1" w:styleId="Heading5Char">
    <w:name w:val="Heading 5 Char"/>
    <w:basedOn w:val="DefaultParagraphFont"/>
    <w:link w:val="Heading5"/>
    <w:uiPriority w:val="9"/>
    <w:semiHidden/>
    <w:rsid w:val="008D298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D298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D298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D298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D298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umyapatnaik.sambad@gmail.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1627</TotalTime>
  <Pages>12</Pages>
  <Words>1958</Words>
  <Characters>11165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27</cp:revision>
  <dcterms:created xsi:type="dcterms:W3CDTF">2023-02-13T10:06:00Z</dcterms:created>
  <dcterms:modified xsi:type="dcterms:W3CDTF">2023-02-23T07:28:00Z</dcterms:modified>
</cp:coreProperties>
</file>